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F6" w:rsidRDefault="005519F6">
      <w:pPr>
        <w:widowControl w:val="0"/>
        <w:autoSpaceDE w:val="0"/>
        <w:autoSpaceDN w:val="0"/>
        <w:adjustRightInd w:val="0"/>
        <w:spacing w:after="0" w:line="240" w:lineRule="auto"/>
        <w:jc w:val="both"/>
        <w:outlineLvl w:val="0"/>
        <w:rPr>
          <w:rFonts w:cs="Calibri"/>
        </w:rPr>
      </w:pPr>
      <w:bookmarkStart w:id="0" w:name="_GoBack"/>
      <w:bookmarkEnd w:id="0"/>
    </w:p>
    <w:p w:rsidR="005519F6" w:rsidRDefault="005519F6">
      <w:pPr>
        <w:widowControl w:val="0"/>
        <w:autoSpaceDE w:val="0"/>
        <w:autoSpaceDN w:val="0"/>
        <w:adjustRightInd w:val="0"/>
        <w:spacing w:after="0" w:line="240" w:lineRule="auto"/>
        <w:jc w:val="right"/>
        <w:outlineLvl w:val="0"/>
        <w:rPr>
          <w:rFonts w:cs="Calibri"/>
        </w:rPr>
      </w:pPr>
      <w:bookmarkStart w:id="1" w:name="Par1"/>
      <w:bookmarkEnd w:id="1"/>
      <w:r>
        <w:rPr>
          <w:rFonts w:cs="Calibri"/>
        </w:rPr>
        <w:t>[официальный перевод</w:t>
      </w:r>
    </w:p>
    <w:p w:rsidR="005519F6" w:rsidRDefault="005519F6">
      <w:pPr>
        <w:widowControl w:val="0"/>
        <w:autoSpaceDE w:val="0"/>
        <w:autoSpaceDN w:val="0"/>
        <w:adjustRightInd w:val="0"/>
        <w:spacing w:after="0" w:line="240" w:lineRule="auto"/>
        <w:jc w:val="right"/>
        <w:rPr>
          <w:rFonts w:cs="Calibri"/>
        </w:rPr>
      </w:pPr>
      <w:r>
        <w:rPr>
          <w:rFonts w:cs="Calibri"/>
        </w:rPr>
        <w:t>на русский язык]</w:t>
      </w:r>
    </w:p>
    <w:p w:rsidR="005519F6" w:rsidRDefault="005519F6">
      <w:pPr>
        <w:widowControl w:val="0"/>
        <w:autoSpaceDE w:val="0"/>
        <w:autoSpaceDN w:val="0"/>
        <w:adjustRightInd w:val="0"/>
        <w:spacing w:after="0" w:line="240" w:lineRule="auto"/>
        <w:jc w:val="right"/>
        <w:rPr>
          <w:rFonts w:cs="Calibri"/>
        </w:rPr>
      </w:pPr>
    </w:p>
    <w:p w:rsidR="005519F6" w:rsidRDefault="005519F6">
      <w:pPr>
        <w:widowControl w:val="0"/>
        <w:autoSpaceDE w:val="0"/>
        <w:autoSpaceDN w:val="0"/>
        <w:adjustRightInd w:val="0"/>
        <w:spacing w:after="0" w:line="240" w:lineRule="auto"/>
        <w:jc w:val="center"/>
        <w:rPr>
          <w:rFonts w:cs="Calibri"/>
          <w:b/>
          <w:bCs/>
        </w:rPr>
      </w:pPr>
      <w:r>
        <w:rPr>
          <w:rFonts w:cs="Calibri"/>
          <w:b/>
          <w:bCs/>
        </w:rPr>
        <w:t>ОРГАНИЗАЦИЯ ЭКОНОМИЧЕСКОГО СОТРУДНИЧЕСТВА И РАЗВИТИЯ</w:t>
      </w:r>
    </w:p>
    <w:p w:rsidR="005519F6" w:rsidRDefault="005519F6">
      <w:pPr>
        <w:widowControl w:val="0"/>
        <w:autoSpaceDE w:val="0"/>
        <w:autoSpaceDN w:val="0"/>
        <w:adjustRightInd w:val="0"/>
        <w:spacing w:after="0" w:line="240" w:lineRule="auto"/>
        <w:jc w:val="center"/>
        <w:rPr>
          <w:rFonts w:cs="Calibri"/>
          <w:b/>
          <w:bCs/>
        </w:rPr>
      </w:pPr>
    </w:p>
    <w:p w:rsidR="005519F6" w:rsidRDefault="005519F6">
      <w:pPr>
        <w:widowControl w:val="0"/>
        <w:autoSpaceDE w:val="0"/>
        <w:autoSpaceDN w:val="0"/>
        <w:adjustRightInd w:val="0"/>
        <w:spacing w:after="0" w:line="240" w:lineRule="auto"/>
        <w:jc w:val="center"/>
        <w:rPr>
          <w:rFonts w:cs="Calibri"/>
          <w:b/>
          <w:bCs/>
        </w:rPr>
      </w:pPr>
      <w:bookmarkStart w:id="2" w:name="Par6"/>
      <w:bookmarkEnd w:id="2"/>
      <w:r>
        <w:rPr>
          <w:rFonts w:cs="Calibri"/>
          <w:b/>
          <w:bCs/>
        </w:rPr>
        <w:t>КОНВЕНЦИЯ</w:t>
      </w:r>
    </w:p>
    <w:p w:rsidR="005519F6" w:rsidRDefault="005519F6">
      <w:pPr>
        <w:widowControl w:val="0"/>
        <w:autoSpaceDE w:val="0"/>
        <w:autoSpaceDN w:val="0"/>
        <w:adjustRightInd w:val="0"/>
        <w:spacing w:after="0" w:line="240" w:lineRule="auto"/>
        <w:jc w:val="center"/>
        <w:rPr>
          <w:rFonts w:cs="Calibri"/>
          <w:b/>
          <w:bCs/>
        </w:rPr>
      </w:pPr>
      <w:r>
        <w:rPr>
          <w:rFonts w:cs="Calibri"/>
          <w:b/>
          <w:bCs/>
        </w:rPr>
        <w:t>ПО БОРЬБЕ С ПОДКУПОМ ИНОСТРАННЫХ ДОЛЖНОСТНЫХ ЛИЦ</w:t>
      </w:r>
    </w:p>
    <w:p w:rsidR="005519F6" w:rsidRDefault="005519F6">
      <w:pPr>
        <w:widowControl w:val="0"/>
        <w:autoSpaceDE w:val="0"/>
        <w:autoSpaceDN w:val="0"/>
        <w:adjustRightInd w:val="0"/>
        <w:spacing w:after="0" w:line="240" w:lineRule="auto"/>
        <w:jc w:val="center"/>
        <w:rPr>
          <w:rFonts w:cs="Calibri"/>
          <w:b/>
          <w:bCs/>
        </w:rPr>
      </w:pPr>
      <w:r>
        <w:rPr>
          <w:rFonts w:cs="Calibri"/>
          <w:b/>
          <w:bCs/>
        </w:rPr>
        <w:t>ПРИ ОСУЩЕСТВЛЕНИИ МЕЖДУНАРОДНЫХ КОММЕРЧЕСКИХ СДЕЛОК</w:t>
      </w:r>
    </w:p>
    <w:p w:rsidR="005519F6" w:rsidRDefault="005519F6">
      <w:pPr>
        <w:widowControl w:val="0"/>
        <w:autoSpaceDE w:val="0"/>
        <w:autoSpaceDN w:val="0"/>
        <w:adjustRightInd w:val="0"/>
        <w:spacing w:after="0" w:line="240" w:lineRule="auto"/>
        <w:jc w:val="center"/>
        <w:rPr>
          <w:rFonts w:cs="Calibri"/>
          <w:b/>
          <w:bCs/>
        </w:rPr>
      </w:pPr>
    </w:p>
    <w:p w:rsidR="005519F6" w:rsidRDefault="005519F6">
      <w:pPr>
        <w:widowControl w:val="0"/>
        <w:autoSpaceDE w:val="0"/>
        <w:autoSpaceDN w:val="0"/>
        <w:adjustRightInd w:val="0"/>
        <w:spacing w:after="0" w:line="240" w:lineRule="auto"/>
        <w:jc w:val="center"/>
        <w:rPr>
          <w:rFonts w:cs="Calibri"/>
          <w:b/>
          <w:bCs/>
        </w:rPr>
      </w:pPr>
      <w:r>
        <w:rPr>
          <w:rFonts w:cs="Calibri"/>
          <w:b/>
          <w:bCs/>
        </w:rPr>
        <w:t>(Париж, 17 декабря 1997 года)</w:t>
      </w:r>
    </w:p>
    <w:p w:rsidR="005519F6" w:rsidRDefault="005519F6">
      <w:pPr>
        <w:widowControl w:val="0"/>
        <w:autoSpaceDE w:val="0"/>
        <w:autoSpaceDN w:val="0"/>
        <w:adjustRightInd w:val="0"/>
        <w:spacing w:after="0" w:line="240" w:lineRule="auto"/>
        <w:ind w:firstLine="540"/>
        <w:jc w:val="both"/>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3" w:name="Par12"/>
      <w:bookmarkEnd w:id="3"/>
      <w:r>
        <w:rPr>
          <w:rFonts w:cs="Calibri"/>
        </w:rPr>
        <w:t>Преамбула</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Стороны,</w:t>
      </w:r>
    </w:p>
    <w:p w:rsidR="005519F6" w:rsidRDefault="005519F6">
      <w:pPr>
        <w:widowControl w:val="0"/>
        <w:autoSpaceDE w:val="0"/>
        <w:autoSpaceDN w:val="0"/>
        <w:adjustRightInd w:val="0"/>
        <w:spacing w:after="0" w:line="240" w:lineRule="auto"/>
        <w:ind w:firstLine="540"/>
        <w:jc w:val="both"/>
        <w:rPr>
          <w:rFonts w:cs="Calibri"/>
        </w:rPr>
      </w:pPr>
      <w:r>
        <w:rPr>
          <w:rFonts w:cs="Calibri"/>
        </w:rPr>
        <w:t>учитывая,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наносит ущерб экономическому развитию и искажает условия международной конкуренции;</w:t>
      </w:r>
    </w:p>
    <w:p w:rsidR="005519F6" w:rsidRDefault="005519F6">
      <w:pPr>
        <w:widowControl w:val="0"/>
        <w:autoSpaceDE w:val="0"/>
        <w:autoSpaceDN w:val="0"/>
        <w:adjustRightInd w:val="0"/>
        <w:spacing w:after="0" w:line="240" w:lineRule="auto"/>
        <w:ind w:firstLine="540"/>
        <w:jc w:val="both"/>
        <w:rPr>
          <w:rFonts w:cs="Calibri"/>
        </w:rPr>
      </w:pPr>
      <w:r>
        <w:rPr>
          <w:rFonts w:cs="Calibri"/>
        </w:rPr>
        <w:t>учитывая, что на всех странах лежит общая ответственность за ведение борьбы с подкупом при проведении международных коммерческих сделок;</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принимая во внимание положения пересмотренных </w:t>
      </w:r>
      <w:hyperlink w:anchor="Par373" w:history="1">
        <w:r>
          <w:rPr>
            <w:rFonts w:cs="Calibri"/>
            <w:color w:val="0000FF"/>
          </w:rPr>
          <w:t>Рекомендаций</w:t>
        </w:r>
      </w:hyperlink>
      <w:r>
        <w:rPr>
          <w:rFonts w:cs="Calibri"/>
        </w:rPr>
        <w:t xml:space="preserve"> по борьбе с подкупом при осуществлении международных коммерческих сделок, принятых Советом Организации экономического сотрудничества и развития (ОЭСР) 23 мая 1997 года, C(97)123/FINAL, которые, в числе прочего, призывают к принятию эффективных мер по пресечению, предупреждению и борьбе с подкупом иностранных должностных лиц при осуществлении международных коммерческих сделок, в частности к скорейшей криминализации такого подкупа путем эффективных и скоординированных действий, и в соответствии с изложенными в Рекомендации </w:t>
      </w:r>
      <w:hyperlink w:anchor="Par479" w:history="1">
        <w:r>
          <w:rPr>
            <w:rFonts w:cs="Calibri"/>
            <w:color w:val="0000FF"/>
          </w:rPr>
          <w:t>согласованными общими элементами</w:t>
        </w:r>
      </w:hyperlink>
      <w:r>
        <w:rPr>
          <w:rFonts w:cs="Calibri"/>
        </w:rPr>
        <w:t>, а также юрисдикционными и иными базовыми правовыми принципами каждой страны;</w:t>
      </w:r>
    </w:p>
    <w:p w:rsidR="005519F6" w:rsidRDefault="005519F6">
      <w:pPr>
        <w:widowControl w:val="0"/>
        <w:autoSpaceDE w:val="0"/>
        <w:autoSpaceDN w:val="0"/>
        <w:adjustRightInd w:val="0"/>
        <w:spacing w:after="0" w:line="240" w:lineRule="auto"/>
        <w:ind w:firstLine="540"/>
        <w:jc w:val="both"/>
        <w:rPr>
          <w:rFonts w:cs="Calibri"/>
        </w:rPr>
      </w:pPr>
      <w:r>
        <w:rPr>
          <w:rFonts w:cs="Calibri"/>
        </w:rP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5519F6" w:rsidRDefault="005519F6">
      <w:pPr>
        <w:widowControl w:val="0"/>
        <w:autoSpaceDE w:val="0"/>
        <w:autoSpaceDN w:val="0"/>
        <w:adjustRightInd w:val="0"/>
        <w:spacing w:after="0" w:line="240" w:lineRule="auto"/>
        <w:ind w:firstLine="540"/>
        <w:jc w:val="both"/>
        <w:rPr>
          <w:rFonts w:cs="Calibri"/>
        </w:rPr>
      </w:pPr>
      <w:r>
        <w:rPr>
          <w:rFonts w:cs="Calibri"/>
        </w:rPr>
        <w:t>приветствуя усилия компаний, деловых организаций и профсоюзов, а также других неправительственных организаций в сфере борьбы с подкупом;</w:t>
      </w:r>
    </w:p>
    <w:p w:rsidR="005519F6" w:rsidRDefault="005519F6">
      <w:pPr>
        <w:widowControl w:val="0"/>
        <w:autoSpaceDE w:val="0"/>
        <w:autoSpaceDN w:val="0"/>
        <w:adjustRightInd w:val="0"/>
        <w:spacing w:after="0" w:line="240" w:lineRule="auto"/>
        <w:ind w:firstLine="540"/>
        <w:jc w:val="both"/>
        <w:rPr>
          <w:rFonts w:cs="Calibri"/>
        </w:rPr>
      </w:pPr>
      <w:r>
        <w:rPr>
          <w:rFonts w:cs="Calibri"/>
        </w:rPr>
        <w:t>признавая роль правительств в предотвращении случаев вымогательства неправомерных преимуществ от частных лиц и компаний при осуществлении международных коммерческих сделок;</w:t>
      </w:r>
    </w:p>
    <w:p w:rsidR="005519F6" w:rsidRDefault="005519F6">
      <w:pPr>
        <w:widowControl w:val="0"/>
        <w:autoSpaceDE w:val="0"/>
        <w:autoSpaceDN w:val="0"/>
        <w:adjustRightInd w:val="0"/>
        <w:spacing w:after="0" w:line="240" w:lineRule="auto"/>
        <w:ind w:firstLine="540"/>
        <w:jc w:val="both"/>
        <w:rPr>
          <w:rFonts w:cs="Calibri"/>
        </w:rPr>
      </w:pPr>
      <w:r>
        <w:rPr>
          <w:rFonts w:cs="Calibri"/>
        </w:rPr>
        <w:t>признавая, что достижение положительных результатов в этой сфере требует усилий не только отдельных государств, но и многостороннего сотрудничества, обзора и проведения последующих мероприятий;</w:t>
      </w:r>
    </w:p>
    <w:p w:rsidR="005519F6" w:rsidRDefault="005519F6">
      <w:pPr>
        <w:widowControl w:val="0"/>
        <w:autoSpaceDE w:val="0"/>
        <w:autoSpaceDN w:val="0"/>
        <w:adjustRightInd w:val="0"/>
        <w:spacing w:after="0" w:line="240" w:lineRule="auto"/>
        <w:ind w:firstLine="540"/>
        <w:jc w:val="both"/>
        <w:rPr>
          <w:rFonts w:cs="Calibri"/>
        </w:rPr>
      </w:pPr>
      <w:r>
        <w:rPr>
          <w:rFonts w:cs="Calibri"/>
        </w:rPr>
        <w:t>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эквивалентность;</w:t>
      </w:r>
    </w:p>
    <w:p w:rsidR="005519F6" w:rsidRDefault="005519F6">
      <w:pPr>
        <w:widowControl w:val="0"/>
        <w:autoSpaceDE w:val="0"/>
        <w:autoSpaceDN w:val="0"/>
        <w:adjustRightInd w:val="0"/>
        <w:spacing w:after="0" w:line="240" w:lineRule="auto"/>
        <w:ind w:firstLine="540"/>
        <w:jc w:val="both"/>
        <w:rPr>
          <w:rFonts w:cs="Calibri"/>
        </w:rPr>
      </w:pPr>
      <w:r>
        <w:rPr>
          <w:rFonts w:cs="Calibri"/>
        </w:rPr>
        <w:t>согласились о нижеследующем:</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4" w:name="Par25"/>
      <w:bookmarkEnd w:id="4"/>
      <w:r>
        <w:rPr>
          <w:rFonts w:cs="Calibri"/>
        </w:rPr>
        <w:t>Статья 1</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Подкуп иностранных должностных лиц</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bookmarkStart w:id="5" w:name="Par29"/>
      <w:bookmarkEnd w:id="5"/>
      <w:r>
        <w:rPr>
          <w:rFonts w:cs="Calibri"/>
        </w:rPr>
        <w:t xml:space="preserve">1. Каждая Сторона в соответствии с внутренним законодательством принимает необходимые меры для признания в качестве уголовно наказуемых деяний умышленное </w:t>
      </w:r>
      <w:r>
        <w:rPr>
          <w:rFonts w:cs="Calibri"/>
        </w:rPr>
        <w:lastRenderedPageBreak/>
        <w:t>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осуществлением международной коммерческой сделки.</w:t>
      </w:r>
    </w:p>
    <w:p w:rsidR="005519F6" w:rsidRDefault="005519F6">
      <w:pPr>
        <w:widowControl w:val="0"/>
        <w:autoSpaceDE w:val="0"/>
        <w:autoSpaceDN w:val="0"/>
        <w:adjustRightInd w:val="0"/>
        <w:spacing w:after="0" w:line="240" w:lineRule="auto"/>
        <w:ind w:firstLine="540"/>
        <w:jc w:val="both"/>
        <w:rPr>
          <w:rFonts w:cs="Calibri"/>
        </w:rPr>
      </w:pPr>
      <w:bookmarkStart w:id="6" w:name="Par30"/>
      <w:bookmarkEnd w:id="6"/>
      <w:r>
        <w:rPr>
          <w:rFonts w:cs="Calibri"/>
        </w:rPr>
        <w:t>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уголовно наказуемым деянием. Покушение на подкуп или сговор с целью подкупа иностранного должностного лица являются уголовно наказуемым деянием в той же степени, что и покушение на подкуп или сговор с целью подкупа должностного лица данной Стороны.</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3. Деяния, определенные в </w:t>
      </w:r>
      <w:hyperlink w:anchor="Par29" w:history="1">
        <w:r>
          <w:rPr>
            <w:rFonts w:cs="Calibri"/>
            <w:color w:val="0000FF"/>
          </w:rPr>
          <w:t>п.п. 1</w:t>
        </w:r>
      </w:hyperlink>
      <w:r>
        <w:rPr>
          <w:rFonts w:cs="Calibri"/>
        </w:rPr>
        <w:t xml:space="preserve"> и </w:t>
      </w:r>
      <w:hyperlink w:anchor="Par30" w:history="1">
        <w:r>
          <w:rPr>
            <w:rFonts w:cs="Calibri"/>
            <w:color w:val="0000FF"/>
          </w:rPr>
          <w:t>2 настоящей статьи</w:t>
        </w:r>
      </w:hyperlink>
      <w:r>
        <w:rPr>
          <w:rFonts w:cs="Calibri"/>
        </w:rPr>
        <w:t xml:space="preserve"> в дальнейшем именуются "подкуп иностранного должностного лица".</w:t>
      </w:r>
    </w:p>
    <w:p w:rsidR="005519F6" w:rsidRDefault="005519F6">
      <w:pPr>
        <w:widowControl w:val="0"/>
        <w:autoSpaceDE w:val="0"/>
        <w:autoSpaceDN w:val="0"/>
        <w:adjustRightInd w:val="0"/>
        <w:spacing w:after="0" w:line="240" w:lineRule="auto"/>
        <w:ind w:firstLine="540"/>
        <w:jc w:val="both"/>
        <w:rPr>
          <w:rFonts w:cs="Calibri"/>
        </w:rPr>
      </w:pPr>
      <w:bookmarkStart w:id="7" w:name="Par32"/>
      <w:bookmarkEnd w:id="7"/>
      <w:r>
        <w:rPr>
          <w:rFonts w:cs="Calibri"/>
        </w:rPr>
        <w:t>4. Для целей настоящей Конвенции:</w:t>
      </w:r>
    </w:p>
    <w:p w:rsidR="005519F6" w:rsidRDefault="005519F6">
      <w:pPr>
        <w:widowControl w:val="0"/>
        <w:autoSpaceDE w:val="0"/>
        <w:autoSpaceDN w:val="0"/>
        <w:adjustRightInd w:val="0"/>
        <w:spacing w:after="0" w:line="240" w:lineRule="auto"/>
        <w:ind w:firstLine="540"/>
        <w:jc w:val="both"/>
        <w:rPr>
          <w:rFonts w:cs="Calibri"/>
        </w:rPr>
      </w:pPr>
      <w:r>
        <w:rPr>
          <w:rFonts w:cs="Calibri"/>
        </w:rPr>
        <w:t>a. термин "иностранное должностное лицо"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международной организации;</w:t>
      </w:r>
    </w:p>
    <w:p w:rsidR="005519F6" w:rsidRDefault="005519F6">
      <w:pPr>
        <w:widowControl w:val="0"/>
        <w:autoSpaceDE w:val="0"/>
        <w:autoSpaceDN w:val="0"/>
        <w:adjustRightInd w:val="0"/>
        <w:spacing w:after="0" w:line="240" w:lineRule="auto"/>
        <w:ind w:firstLine="540"/>
        <w:jc w:val="both"/>
        <w:rPr>
          <w:rFonts w:cs="Calibri"/>
        </w:rPr>
      </w:pPr>
      <w:r>
        <w:rPr>
          <w:rFonts w:cs="Calibri"/>
        </w:rPr>
        <w:t>b. термин "иностранное государство" включает все уровни и структуры системы государственного и муниципального управления от центральных до местных органов власти;</w:t>
      </w:r>
    </w:p>
    <w:p w:rsidR="005519F6" w:rsidRDefault="005519F6">
      <w:pPr>
        <w:widowControl w:val="0"/>
        <w:autoSpaceDE w:val="0"/>
        <w:autoSpaceDN w:val="0"/>
        <w:adjustRightInd w:val="0"/>
        <w:spacing w:after="0" w:line="240" w:lineRule="auto"/>
        <w:ind w:firstLine="540"/>
        <w:jc w:val="both"/>
        <w:rPr>
          <w:rFonts w:cs="Calibri"/>
        </w:rPr>
      </w:pPr>
      <w:bookmarkStart w:id="8" w:name="Par35"/>
      <w:bookmarkEnd w:id="8"/>
      <w:r>
        <w:rPr>
          <w:rFonts w:cs="Calibri"/>
        </w:rPr>
        <w:t>c. понятие "действовать или бездействовать в связи с выполнением официальных обязанностей" охватывает любое использование должностным лицом своих полномочий независимо от того, находятся ли они в рамках его компетенции.</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9" w:name="Par37"/>
      <w:bookmarkEnd w:id="9"/>
      <w:r>
        <w:rPr>
          <w:rFonts w:cs="Calibri"/>
        </w:rPr>
        <w:t>Статья 2</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Ответственность юридических лиц</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10" w:name="Par43"/>
      <w:bookmarkEnd w:id="10"/>
      <w:r>
        <w:rPr>
          <w:rFonts w:cs="Calibri"/>
        </w:rPr>
        <w:t>Статья 3</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Санкции</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1. Подкуп иностранного должностного лица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p>
    <w:p w:rsidR="005519F6" w:rsidRDefault="005519F6">
      <w:pPr>
        <w:widowControl w:val="0"/>
        <w:autoSpaceDE w:val="0"/>
        <w:autoSpaceDN w:val="0"/>
        <w:adjustRightInd w:val="0"/>
        <w:spacing w:after="0" w:line="240" w:lineRule="auto"/>
        <w:ind w:firstLine="540"/>
        <w:jc w:val="both"/>
        <w:rPr>
          <w:rFonts w:cs="Calibri"/>
        </w:rPr>
      </w:pPr>
      <w:r>
        <w:rPr>
          <w:rFonts w:cs="Calibri"/>
        </w:rPr>
        <w:t>2. В случае если в соответствии с правовой системой какой-либо Стороны уголовная ответственность к юридическим лицам неприменима, то эта Сторона обеспечит применение эффективного и соразмерного неуголовного наказания, носящего сдерживающее воздействие, за подкуп иностранных должностных лиц, включая финансовые санкции.</w:t>
      </w:r>
    </w:p>
    <w:p w:rsidR="005519F6" w:rsidRDefault="005519F6">
      <w:pPr>
        <w:widowControl w:val="0"/>
        <w:autoSpaceDE w:val="0"/>
        <w:autoSpaceDN w:val="0"/>
        <w:adjustRightInd w:val="0"/>
        <w:spacing w:after="0" w:line="240" w:lineRule="auto"/>
        <w:ind w:firstLine="540"/>
        <w:jc w:val="both"/>
        <w:rPr>
          <w:rFonts w:cs="Calibri"/>
        </w:rPr>
      </w:pPr>
      <w:bookmarkStart w:id="11" w:name="Par49"/>
      <w:bookmarkEnd w:id="11"/>
      <w:r>
        <w:rPr>
          <w:rFonts w:cs="Calibri"/>
        </w:rP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p>
    <w:p w:rsidR="005519F6" w:rsidRDefault="005519F6">
      <w:pPr>
        <w:widowControl w:val="0"/>
        <w:autoSpaceDE w:val="0"/>
        <w:autoSpaceDN w:val="0"/>
        <w:adjustRightInd w:val="0"/>
        <w:spacing w:after="0" w:line="240" w:lineRule="auto"/>
        <w:ind w:firstLine="540"/>
        <w:jc w:val="both"/>
        <w:rPr>
          <w:rFonts w:cs="Calibri"/>
        </w:rPr>
      </w:pPr>
      <w:bookmarkStart w:id="12" w:name="Par50"/>
      <w:bookmarkEnd w:id="12"/>
      <w:r>
        <w:rPr>
          <w:rFonts w:cs="Calibri"/>
        </w:rPr>
        <w:t xml:space="preserve">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w:t>
      </w:r>
      <w:r>
        <w:rPr>
          <w:rFonts w:cs="Calibri"/>
        </w:rPr>
        <w:lastRenderedPageBreak/>
        <w:t>иностранного должностного лица.</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13" w:name="Par52"/>
      <w:bookmarkEnd w:id="13"/>
      <w:r>
        <w:rPr>
          <w:rFonts w:cs="Calibri"/>
        </w:rPr>
        <w:t>Статья 4</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Юрисдикция</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bookmarkStart w:id="14" w:name="Par56"/>
      <w:bookmarkEnd w:id="14"/>
      <w:r>
        <w:rPr>
          <w:rFonts w:cs="Calibri"/>
        </w:rPr>
        <w:t>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его территории.</w:t>
      </w:r>
    </w:p>
    <w:p w:rsidR="005519F6" w:rsidRDefault="005519F6">
      <w:pPr>
        <w:widowControl w:val="0"/>
        <w:autoSpaceDE w:val="0"/>
        <w:autoSpaceDN w:val="0"/>
        <w:adjustRightInd w:val="0"/>
        <w:spacing w:after="0" w:line="240" w:lineRule="auto"/>
        <w:ind w:firstLine="540"/>
        <w:jc w:val="both"/>
        <w:rPr>
          <w:rFonts w:cs="Calibri"/>
        </w:rPr>
      </w:pPr>
      <w:bookmarkStart w:id="15" w:name="Par57"/>
      <w:bookmarkEnd w:id="15"/>
      <w:r>
        <w:rPr>
          <w:rFonts w:cs="Calibri"/>
        </w:rPr>
        <w:t>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соответствии с теми же принципами.</w:t>
      </w:r>
    </w:p>
    <w:p w:rsidR="005519F6" w:rsidRDefault="005519F6">
      <w:pPr>
        <w:widowControl w:val="0"/>
        <w:autoSpaceDE w:val="0"/>
        <w:autoSpaceDN w:val="0"/>
        <w:adjustRightInd w:val="0"/>
        <w:spacing w:after="0" w:line="240" w:lineRule="auto"/>
        <w:ind w:firstLine="540"/>
        <w:jc w:val="both"/>
        <w:rPr>
          <w:rFonts w:cs="Calibri"/>
        </w:rPr>
      </w:pPr>
      <w:bookmarkStart w:id="16" w:name="Par58"/>
      <w:bookmarkEnd w:id="16"/>
      <w:r>
        <w:rPr>
          <w:rFonts w:cs="Calibri"/>
        </w:rP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p>
    <w:p w:rsidR="005519F6" w:rsidRDefault="005519F6">
      <w:pPr>
        <w:widowControl w:val="0"/>
        <w:autoSpaceDE w:val="0"/>
        <w:autoSpaceDN w:val="0"/>
        <w:adjustRightInd w:val="0"/>
        <w:spacing w:after="0" w:line="240" w:lineRule="auto"/>
        <w:ind w:firstLine="540"/>
        <w:jc w:val="both"/>
        <w:rPr>
          <w:rFonts w:cs="Calibri"/>
        </w:rPr>
      </w:pPr>
      <w:r>
        <w:rPr>
          <w:rFonts w:cs="Calibri"/>
        </w:rP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17" w:name="Par61"/>
      <w:bookmarkEnd w:id="17"/>
      <w:r>
        <w:rPr>
          <w:rFonts w:cs="Calibri"/>
        </w:rPr>
        <w:t>Статья 5</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Правоприменение</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18" w:name="Par67"/>
      <w:bookmarkEnd w:id="18"/>
      <w:r>
        <w:rPr>
          <w:rFonts w:cs="Calibri"/>
        </w:rPr>
        <w:t>Статья 6</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Срок давности</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19" w:name="Par73"/>
      <w:bookmarkEnd w:id="19"/>
      <w:r>
        <w:rPr>
          <w:rFonts w:cs="Calibri"/>
        </w:rPr>
        <w:t>Статья 7</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Отмывание денег</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подкуп.</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20" w:name="Par79"/>
      <w:bookmarkEnd w:id="20"/>
      <w:r>
        <w:rPr>
          <w:rFonts w:cs="Calibri"/>
        </w:rPr>
        <w:t>Статья 8</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Учет</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1. 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w:t>
      </w:r>
      <w:r>
        <w:rPr>
          <w:rFonts w:cs="Calibri"/>
        </w:rPr>
        <w:lastRenderedPageBreak/>
        <w:t>несуществующих расходов и пассивов с ложным указанием их источника,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w:t>
      </w:r>
    </w:p>
    <w:p w:rsidR="005519F6" w:rsidRDefault="005519F6">
      <w:pPr>
        <w:widowControl w:val="0"/>
        <w:autoSpaceDE w:val="0"/>
        <w:autoSpaceDN w:val="0"/>
        <w:adjustRightInd w:val="0"/>
        <w:spacing w:after="0" w:line="240" w:lineRule="auto"/>
        <w:ind w:firstLine="540"/>
        <w:jc w:val="both"/>
        <w:rPr>
          <w:rFonts w:cs="Calibri"/>
        </w:rPr>
      </w:pPr>
      <w:r>
        <w:rPr>
          <w:rFonts w:cs="Calibri"/>
        </w:rPr>
        <w:t>2. Каждая Сторона применяет эффективные и соразмерные гражданско-правовые, 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21" w:name="Par86"/>
      <w:bookmarkEnd w:id="21"/>
      <w:r>
        <w:rPr>
          <w:rFonts w:cs="Calibri"/>
        </w:rPr>
        <w:t>Статья 9</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Взаимная правовая помощь</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bookmarkStart w:id="22" w:name="Par90"/>
      <w:bookmarkEnd w:id="22"/>
      <w:r>
        <w:rPr>
          <w:rFonts w:cs="Calibri"/>
        </w:rPr>
        <w:t>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неуголовных 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p>
    <w:p w:rsidR="005519F6" w:rsidRDefault="005519F6">
      <w:pPr>
        <w:widowControl w:val="0"/>
        <w:autoSpaceDE w:val="0"/>
        <w:autoSpaceDN w:val="0"/>
        <w:adjustRightInd w:val="0"/>
        <w:spacing w:after="0" w:line="240" w:lineRule="auto"/>
        <w:ind w:firstLine="540"/>
        <w:jc w:val="both"/>
        <w:rPr>
          <w:rFonts w:cs="Calibri"/>
        </w:rPr>
      </w:pPr>
      <w:bookmarkStart w:id="23" w:name="Par91"/>
      <w:bookmarkEnd w:id="23"/>
      <w:r>
        <w:rPr>
          <w:rFonts w:cs="Calibri"/>
        </w:rPr>
        <w:t>2. 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p>
    <w:p w:rsidR="005519F6" w:rsidRDefault="005519F6">
      <w:pPr>
        <w:widowControl w:val="0"/>
        <w:autoSpaceDE w:val="0"/>
        <w:autoSpaceDN w:val="0"/>
        <w:adjustRightInd w:val="0"/>
        <w:spacing w:after="0" w:line="240" w:lineRule="auto"/>
        <w:ind w:firstLine="540"/>
        <w:jc w:val="both"/>
        <w:rPr>
          <w:rFonts w:cs="Calibri"/>
        </w:rPr>
      </w:pPr>
      <w:r>
        <w:rPr>
          <w:rFonts w:cs="Calibri"/>
        </w:rPr>
        <w:t>3. Сторона не вправе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p>
    <w:p w:rsidR="005519F6" w:rsidRDefault="005519F6">
      <w:pPr>
        <w:widowControl w:val="0"/>
        <w:autoSpaceDE w:val="0"/>
        <w:autoSpaceDN w:val="0"/>
        <w:adjustRightInd w:val="0"/>
        <w:spacing w:after="0" w:line="240" w:lineRule="auto"/>
        <w:ind w:firstLine="540"/>
        <w:jc w:val="both"/>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24" w:name="Par94"/>
      <w:bookmarkEnd w:id="24"/>
      <w:r>
        <w:rPr>
          <w:rFonts w:cs="Calibri"/>
        </w:rPr>
        <w:t>Статья 10</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Экстрадиция</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1. В соответствии с законами Сторон и положениями заключаемых ими договоров об экстрадиции подкуп иностранного должностного лица должен быть отнесен к категории преступлений, по которым осуществляется экстрадиция.</w:t>
      </w:r>
    </w:p>
    <w:p w:rsidR="005519F6" w:rsidRDefault="005519F6">
      <w:pPr>
        <w:widowControl w:val="0"/>
        <w:autoSpaceDE w:val="0"/>
        <w:autoSpaceDN w:val="0"/>
        <w:adjustRightInd w:val="0"/>
        <w:spacing w:after="0" w:line="240" w:lineRule="auto"/>
        <w:ind w:firstLine="540"/>
        <w:jc w:val="both"/>
        <w:rPr>
          <w:rFonts w:cs="Calibri"/>
        </w:rPr>
      </w:pPr>
      <w:bookmarkStart w:id="25" w:name="Par99"/>
      <w:bookmarkEnd w:id="25"/>
      <w:r>
        <w:rPr>
          <w:rFonts w:cs="Calibri"/>
        </w:rPr>
        <w:t>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иностранного должностного лица.</w:t>
      </w:r>
    </w:p>
    <w:p w:rsidR="005519F6" w:rsidRDefault="005519F6">
      <w:pPr>
        <w:widowControl w:val="0"/>
        <w:autoSpaceDE w:val="0"/>
        <w:autoSpaceDN w:val="0"/>
        <w:adjustRightInd w:val="0"/>
        <w:spacing w:after="0" w:line="240" w:lineRule="auto"/>
        <w:ind w:firstLine="540"/>
        <w:jc w:val="both"/>
        <w:rPr>
          <w:rFonts w:cs="Calibri"/>
        </w:rPr>
      </w:pPr>
      <w:r>
        <w:rPr>
          <w:rFonts w:cs="Calibri"/>
        </w:rP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4. Экстрадиция лиц, обвиняемых в подкупе иностранного должностного лица, осуществляется в соответствии с условиями,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экстрадиции, соответствует признакам, описанным в </w:t>
      </w:r>
      <w:hyperlink w:anchor="Par25" w:history="1">
        <w:r>
          <w:rPr>
            <w:rFonts w:cs="Calibri"/>
            <w:color w:val="0000FF"/>
          </w:rPr>
          <w:t>статье 1</w:t>
        </w:r>
      </w:hyperlink>
      <w:r>
        <w:rPr>
          <w:rFonts w:cs="Calibri"/>
        </w:rPr>
        <w:t xml:space="preserve"> данной Конвенции.</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26" w:name="Par103"/>
      <w:bookmarkEnd w:id="26"/>
      <w:r>
        <w:rPr>
          <w:rFonts w:cs="Calibri"/>
        </w:rPr>
        <w:t>Статья 11</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lastRenderedPageBreak/>
        <w:t>Ответственные органы</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Для целей </w:t>
      </w:r>
      <w:hyperlink w:anchor="Par58" w:history="1">
        <w:r>
          <w:rPr>
            <w:rFonts w:cs="Calibri"/>
            <w:color w:val="0000FF"/>
          </w:rPr>
          <w:t>пункта 3 статьи 4</w:t>
        </w:r>
      </w:hyperlink>
      <w:r>
        <w:rPr>
          <w:rFonts w:cs="Calibri"/>
        </w:rPr>
        <w:t xml:space="preserve"> (о консультациях), </w:t>
      </w:r>
      <w:hyperlink w:anchor="Par86" w:history="1">
        <w:r>
          <w:rPr>
            <w:rFonts w:cs="Calibri"/>
            <w:color w:val="0000FF"/>
          </w:rPr>
          <w:t>статьи 9</w:t>
        </w:r>
      </w:hyperlink>
      <w:r>
        <w:rPr>
          <w:rFonts w:cs="Calibri"/>
        </w:rPr>
        <w:t xml:space="preserve"> (об оказании взаимной правовой помощи) и </w:t>
      </w:r>
      <w:hyperlink w:anchor="Par94" w:history="1">
        <w:r>
          <w:rPr>
            <w:rFonts w:cs="Calibri"/>
            <w:color w:val="0000FF"/>
          </w:rPr>
          <w:t>статьи 10</w:t>
        </w:r>
      </w:hyperlink>
      <w:r>
        <w:rPr>
          <w:rFonts w:cs="Calibri"/>
        </w:rPr>
        <w:t xml:space="preserve"> (об экстрадиции) каждая Сторона обязуется извещать Генерального секретаря ОЭСР о том, какой (какие) орган (органы)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27" w:name="Par109"/>
      <w:bookmarkEnd w:id="27"/>
      <w:r>
        <w:rPr>
          <w:rFonts w:cs="Calibri"/>
        </w:rPr>
        <w:t>Статья 12</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Обзор и последующие мероприятия</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Стороны будут сотрудничать в выполнении программы систематических мероприятий в целях текущего контроля и содействия полной реализации данной Конвенции. Если не будет принято другое решение путем консенсуса Сторон, эта работа будет осуществляться в рамках деятельности рабочей группы ОЭСР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в соответствии с полномочиями любого правопреемника функций этой группы, при этом Стороны обязуются компенсировать затраты на реализацию программы в соответствии с правилами, применимыми к деятельности такого органа.</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28" w:name="Par115"/>
      <w:bookmarkEnd w:id="28"/>
      <w:r>
        <w:rPr>
          <w:rFonts w:cs="Calibri"/>
        </w:rPr>
        <w:t>Статья 13</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Подписание и присоединение</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1. До вступления в силу данная Конвенция будет открыта для подписания странами-членами ОЭСР и теми странами, не являющимися участницами ОЭСР,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p>
    <w:p w:rsidR="005519F6" w:rsidRDefault="005519F6">
      <w:pPr>
        <w:widowControl w:val="0"/>
        <w:autoSpaceDE w:val="0"/>
        <w:autoSpaceDN w:val="0"/>
        <w:adjustRightInd w:val="0"/>
        <w:spacing w:after="0" w:line="240" w:lineRule="auto"/>
        <w:ind w:firstLine="540"/>
        <w:jc w:val="both"/>
        <w:rPr>
          <w:rFonts w:cs="Calibri"/>
        </w:rPr>
      </w:pPr>
      <w:r>
        <w:rPr>
          <w:rFonts w:cs="Calibri"/>
        </w:rPr>
        <w:t>2. После вступления в силу Конвенция будет открыта для присоединения любой страной, не подписавшей ее, которая является членом ОЭСР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сдачи на хранение документа о присоединении.</w:t>
      </w:r>
    </w:p>
    <w:p w:rsidR="005519F6" w:rsidRDefault="005519F6">
      <w:pPr>
        <w:widowControl w:val="0"/>
        <w:autoSpaceDE w:val="0"/>
        <w:autoSpaceDN w:val="0"/>
        <w:adjustRightInd w:val="0"/>
        <w:spacing w:after="0" w:line="240" w:lineRule="auto"/>
        <w:ind w:firstLine="540"/>
        <w:jc w:val="both"/>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29" w:name="Par122"/>
      <w:bookmarkEnd w:id="29"/>
      <w:r>
        <w:rPr>
          <w:rFonts w:cs="Calibri"/>
        </w:rPr>
        <w:t>Статья 14</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Ратификация и депозитарий</w:t>
      </w:r>
    </w:p>
    <w:p w:rsidR="005519F6" w:rsidRDefault="005519F6">
      <w:pPr>
        <w:widowControl w:val="0"/>
        <w:autoSpaceDE w:val="0"/>
        <w:autoSpaceDN w:val="0"/>
        <w:adjustRightInd w:val="0"/>
        <w:spacing w:after="0" w:line="240" w:lineRule="auto"/>
        <w:ind w:firstLine="540"/>
        <w:jc w:val="both"/>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1. Данная Конвенция подлежит принятию, утверждению или ратификации Сторонами, подписавшими ее, в соответствии с их законами.</w:t>
      </w:r>
    </w:p>
    <w:p w:rsidR="005519F6" w:rsidRDefault="005519F6">
      <w:pPr>
        <w:widowControl w:val="0"/>
        <w:autoSpaceDE w:val="0"/>
        <w:autoSpaceDN w:val="0"/>
        <w:adjustRightInd w:val="0"/>
        <w:spacing w:after="0" w:line="240" w:lineRule="auto"/>
        <w:ind w:firstLine="540"/>
        <w:jc w:val="both"/>
        <w:rPr>
          <w:rFonts w:cs="Calibri"/>
        </w:rPr>
      </w:pPr>
      <w:r>
        <w:rPr>
          <w:rFonts w:cs="Calibri"/>
        </w:rPr>
        <w:t>2. Документы о принятии, утверждении, ратификации или присоединении вносятся на хранение Генеральному секретарю ОЭСР, который будет являться депозитарием данной Конвенции.</w:t>
      </w:r>
    </w:p>
    <w:p w:rsidR="005519F6" w:rsidRDefault="005519F6">
      <w:pPr>
        <w:widowControl w:val="0"/>
        <w:autoSpaceDE w:val="0"/>
        <w:autoSpaceDN w:val="0"/>
        <w:adjustRightInd w:val="0"/>
        <w:spacing w:after="0" w:line="240" w:lineRule="auto"/>
        <w:ind w:firstLine="540"/>
        <w:jc w:val="both"/>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30" w:name="Par129"/>
      <w:bookmarkEnd w:id="30"/>
      <w:r>
        <w:rPr>
          <w:rFonts w:cs="Calibri"/>
        </w:rPr>
        <w:t>Статья 15</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Вступление в силу</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bookmarkStart w:id="31" w:name="Par133"/>
      <w:bookmarkEnd w:id="31"/>
      <w:r>
        <w:rPr>
          <w:rFonts w:cs="Calibri"/>
        </w:rPr>
        <w:t xml:space="preserve">1. Конвенция вступает в силу на шестидесятый день с даты депонирования документов о принятии, утверждении или ратификации пятью из десяти стран, имеющими наибольшую долю в объеме экспорта в соответствии с прилагаемым </w:t>
      </w:r>
      <w:hyperlink w:anchor="Par158" w:history="1">
        <w:r>
          <w:rPr>
            <w:rFonts w:cs="Calibri"/>
            <w:color w:val="0000FF"/>
          </w:rPr>
          <w:t>документом</w:t>
        </w:r>
      </w:hyperlink>
      <w:r>
        <w:rPr>
          <w:rFonts w:cs="Calibri"/>
        </w:rPr>
        <w:t xml:space="preserve"> и представляющими не менее шестидесяти процентов комбинированного суммарного экспорта указанных десяти стран. Для </w:t>
      </w:r>
      <w:r>
        <w:rPr>
          <w:rFonts w:cs="Calibri"/>
        </w:rPr>
        <w:lastRenderedPageBreak/>
        <w:t>каждой страны, подписавшей Конвенцию и депонировавшей свои документы после такого вступления Конвенции в силу, Конвенция вступает в силу на шестидесятый день после депонирования ее документа.</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2. Если Конвенция не вступит в силу согласно </w:t>
      </w:r>
      <w:hyperlink w:anchor="Par133" w:history="1">
        <w:r>
          <w:rPr>
            <w:rFonts w:cs="Calibri"/>
            <w:color w:val="0000FF"/>
          </w:rPr>
          <w:t>п. 1 настоящей статьи</w:t>
        </w:r>
      </w:hyperlink>
      <w:r>
        <w:rPr>
          <w:rFonts w:cs="Calibri"/>
        </w:rPr>
        <w:t xml:space="preserve">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 2. Конвенция вступит в силу в отношении указанной страны, подписавшей ее, на шестидесятый день с даты депонирования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32" w:name="Par136"/>
      <w:bookmarkEnd w:id="32"/>
      <w:r>
        <w:rPr>
          <w:rFonts w:cs="Calibri"/>
        </w:rPr>
        <w:t>Статья 16</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Поправки</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позднее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33" w:name="Par142"/>
      <w:bookmarkEnd w:id="33"/>
      <w:r>
        <w:rPr>
          <w:rFonts w:cs="Calibri"/>
        </w:rPr>
        <w:t>Статья 17</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Выход из Конвенции</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Любая Сторона может выйти из Конвенции, письменно уведомив об этом депозитария. Сторона считается вышедшей из Конвенции через один год после даты 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p>
    <w:p w:rsidR="005519F6" w:rsidRDefault="005519F6">
      <w:pPr>
        <w:widowControl w:val="0"/>
        <w:autoSpaceDE w:val="0"/>
        <w:autoSpaceDN w:val="0"/>
        <w:adjustRightInd w:val="0"/>
        <w:spacing w:after="0" w:line="240" w:lineRule="auto"/>
        <w:ind w:firstLine="540"/>
        <w:jc w:val="both"/>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Совершено в Париже семнадцатого декабря тысяча девятьсот девяносто седьмого года на французском и </w:t>
      </w:r>
      <w:hyperlink w:anchor="Par540" w:history="1">
        <w:r>
          <w:rPr>
            <w:rFonts w:cs="Calibri"/>
            <w:color w:val="0000FF"/>
          </w:rPr>
          <w:t>английском языках</w:t>
        </w:r>
      </w:hyperlink>
      <w:r>
        <w:rPr>
          <w:rFonts w:cs="Calibri"/>
        </w:rPr>
        <w:t>, каждый из которых имеет равнозначную силу.</w:t>
      </w:r>
    </w:p>
    <w:p w:rsidR="005519F6" w:rsidRDefault="005519F6">
      <w:pPr>
        <w:widowControl w:val="0"/>
        <w:autoSpaceDE w:val="0"/>
        <w:autoSpaceDN w:val="0"/>
        <w:adjustRightInd w:val="0"/>
        <w:spacing w:after="0" w:line="240" w:lineRule="auto"/>
        <w:ind w:firstLine="540"/>
        <w:jc w:val="both"/>
        <w:rPr>
          <w:rFonts w:cs="Calibri"/>
        </w:rPr>
      </w:pPr>
    </w:p>
    <w:p w:rsidR="005519F6" w:rsidRDefault="005519F6">
      <w:pPr>
        <w:widowControl w:val="0"/>
        <w:autoSpaceDE w:val="0"/>
        <w:autoSpaceDN w:val="0"/>
        <w:adjustRightInd w:val="0"/>
        <w:spacing w:after="0" w:line="240" w:lineRule="auto"/>
        <w:jc w:val="right"/>
        <w:rPr>
          <w:rFonts w:cs="Calibri"/>
        </w:rPr>
      </w:pPr>
      <w:r>
        <w:rPr>
          <w:rFonts w:cs="Calibri"/>
        </w:rPr>
        <w:t>(Подписи)</w:t>
      </w:r>
    </w:p>
    <w:p w:rsidR="005519F6" w:rsidRDefault="005519F6">
      <w:pPr>
        <w:widowControl w:val="0"/>
        <w:autoSpaceDE w:val="0"/>
        <w:autoSpaceDN w:val="0"/>
        <w:adjustRightInd w:val="0"/>
        <w:spacing w:after="0" w:line="240" w:lineRule="auto"/>
        <w:ind w:firstLine="540"/>
        <w:jc w:val="both"/>
        <w:rPr>
          <w:rFonts w:cs="Calibri"/>
        </w:rPr>
      </w:pPr>
    </w:p>
    <w:p w:rsidR="005519F6" w:rsidRDefault="005519F6">
      <w:pPr>
        <w:widowControl w:val="0"/>
        <w:autoSpaceDE w:val="0"/>
        <w:autoSpaceDN w:val="0"/>
        <w:adjustRightInd w:val="0"/>
        <w:spacing w:after="0" w:line="240" w:lineRule="auto"/>
        <w:ind w:firstLine="540"/>
        <w:jc w:val="both"/>
        <w:rPr>
          <w:rFonts w:cs="Calibri"/>
        </w:rPr>
      </w:pPr>
    </w:p>
    <w:p w:rsidR="005519F6" w:rsidRDefault="005519F6">
      <w:pPr>
        <w:widowControl w:val="0"/>
        <w:autoSpaceDE w:val="0"/>
        <w:autoSpaceDN w:val="0"/>
        <w:adjustRightInd w:val="0"/>
        <w:spacing w:after="0" w:line="240" w:lineRule="auto"/>
        <w:ind w:firstLine="540"/>
        <w:jc w:val="both"/>
        <w:rPr>
          <w:rFonts w:cs="Calibri"/>
        </w:rPr>
      </w:pPr>
    </w:p>
    <w:p w:rsidR="005519F6" w:rsidRDefault="005519F6">
      <w:pPr>
        <w:widowControl w:val="0"/>
        <w:autoSpaceDE w:val="0"/>
        <w:autoSpaceDN w:val="0"/>
        <w:adjustRightInd w:val="0"/>
        <w:spacing w:after="0" w:line="240" w:lineRule="auto"/>
        <w:ind w:firstLine="540"/>
        <w:jc w:val="both"/>
        <w:rPr>
          <w:rFonts w:cs="Calibri"/>
        </w:rPr>
      </w:pPr>
    </w:p>
    <w:p w:rsidR="005519F6" w:rsidRDefault="005519F6">
      <w:pPr>
        <w:widowControl w:val="0"/>
        <w:autoSpaceDE w:val="0"/>
        <w:autoSpaceDN w:val="0"/>
        <w:adjustRightInd w:val="0"/>
        <w:spacing w:after="0" w:line="240" w:lineRule="auto"/>
        <w:ind w:firstLine="540"/>
        <w:jc w:val="both"/>
        <w:rPr>
          <w:rFonts w:cs="Calibri"/>
        </w:rPr>
      </w:pPr>
    </w:p>
    <w:p w:rsidR="00B00156" w:rsidRDefault="00B00156">
      <w:pPr>
        <w:rPr>
          <w:rFonts w:cs="Calibri"/>
        </w:rPr>
      </w:pPr>
      <w:bookmarkStart w:id="34" w:name="Par156"/>
      <w:bookmarkEnd w:id="34"/>
      <w:r>
        <w:rPr>
          <w:rFonts w:cs="Calibri"/>
        </w:rPr>
        <w:br w:type="page"/>
      </w:r>
    </w:p>
    <w:p w:rsidR="005519F6" w:rsidRDefault="005519F6">
      <w:pPr>
        <w:widowControl w:val="0"/>
        <w:autoSpaceDE w:val="0"/>
        <w:autoSpaceDN w:val="0"/>
        <w:adjustRightInd w:val="0"/>
        <w:spacing w:after="0" w:line="240" w:lineRule="auto"/>
        <w:jc w:val="right"/>
        <w:outlineLvl w:val="0"/>
        <w:rPr>
          <w:rFonts w:cs="Calibri"/>
        </w:rPr>
      </w:pPr>
      <w:r>
        <w:rPr>
          <w:rFonts w:cs="Calibri"/>
        </w:rPr>
        <w:t>Приложение</w:t>
      </w:r>
    </w:p>
    <w:p w:rsidR="005519F6" w:rsidRDefault="005519F6">
      <w:pPr>
        <w:widowControl w:val="0"/>
        <w:autoSpaceDE w:val="0"/>
        <w:autoSpaceDN w:val="0"/>
        <w:adjustRightInd w:val="0"/>
        <w:spacing w:after="0" w:line="240" w:lineRule="auto"/>
        <w:jc w:val="center"/>
        <w:rPr>
          <w:rFonts w:cs="Calibri"/>
          <w:b/>
          <w:bCs/>
        </w:rPr>
      </w:pPr>
      <w:bookmarkStart w:id="35" w:name="Par158"/>
      <w:bookmarkEnd w:id="35"/>
      <w:r>
        <w:rPr>
          <w:rFonts w:cs="Calibri"/>
          <w:b/>
          <w:bCs/>
        </w:rPr>
        <w:t>СТАТИСТИЧЕСКИЕ ДАННЫЕ</w:t>
      </w:r>
    </w:p>
    <w:p w:rsidR="005519F6" w:rsidRDefault="005519F6">
      <w:pPr>
        <w:widowControl w:val="0"/>
        <w:autoSpaceDE w:val="0"/>
        <w:autoSpaceDN w:val="0"/>
        <w:adjustRightInd w:val="0"/>
        <w:spacing w:after="0" w:line="240" w:lineRule="auto"/>
        <w:jc w:val="center"/>
        <w:rPr>
          <w:rFonts w:cs="Calibri"/>
          <w:b/>
          <w:bCs/>
        </w:rPr>
      </w:pPr>
      <w:r>
        <w:rPr>
          <w:rFonts w:cs="Calibri"/>
          <w:b/>
          <w:bCs/>
        </w:rPr>
        <w:t>ОБ ОБЪЕМЕ ЭКСПОРТА СТРАН-ЧЛЕНОВ ОЭСР</w:t>
      </w:r>
    </w:p>
    <w:p w:rsidR="005519F6" w:rsidRDefault="005519F6">
      <w:pPr>
        <w:widowControl w:val="0"/>
        <w:autoSpaceDE w:val="0"/>
        <w:autoSpaceDN w:val="0"/>
        <w:adjustRightInd w:val="0"/>
        <w:spacing w:after="0" w:line="240" w:lineRule="auto"/>
        <w:ind w:firstLine="540"/>
        <w:jc w:val="both"/>
        <w:rPr>
          <w:rFonts w:cs="Calibri"/>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3240"/>
        <w:gridCol w:w="2040"/>
        <w:gridCol w:w="2040"/>
        <w:gridCol w:w="2040"/>
      </w:tblGrid>
      <w:tr w:rsidR="005519F6" w:rsidRPr="00F031A6">
        <w:trPr>
          <w:tblCellSpacing w:w="5" w:type="nil"/>
        </w:trPr>
        <w:tc>
          <w:tcPr>
            <w:tcW w:w="3240" w:type="dxa"/>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ind w:firstLine="540"/>
              <w:jc w:val="both"/>
              <w:rPr>
                <w:rFonts w:cs="Calibri"/>
              </w:rPr>
            </w:pPr>
          </w:p>
        </w:tc>
        <w:tc>
          <w:tcPr>
            <w:tcW w:w="2040" w:type="dxa"/>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1990 - 1996 гг.</w:t>
            </w:r>
          </w:p>
        </w:tc>
        <w:tc>
          <w:tcPr>
            <w:tcW w:w="2040" w:type="dxa"/>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1990 - 1996 гг.</w:t>
            </w:r>
          </w:p>
        </w:tc>
        <w:tc>
          <w:tcPr>
            <w:tcW w:w="2040" w:type="dxa"/>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1990 - 1996 гг.</w:t>
            </w:r>
          </w:p>
        </w:tc>
      </w:tr>
      <w:tr w:rsidR="005519F6" w:rsidRPr="00F031A6">
        <w:trPr>
          <w:trHeight w:val="1200"/>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ind w:firstLine="540"/>
              <w:jc w:val="both"/>
              <w:rPr>
                <w:rFonts w:cs="Calibri"/>
              </w:rPr>
            </w:pP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млн. долл. США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от суммарного</w:t>
            </w:r>
          </w:p>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объема экспорта</w:t>
            </w:r>
          </w:p>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ОЭСР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 от объема  </w:t>
            </w:r>
          </w:p>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экспорта    </w:t>
            </w:r>
          </w:p>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10 крупнейших </w:t>
            </w:r>
          </w:p>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экспортеров из </w:t>
            </w:r>
          </w:p>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числа стран - </w:t>
            </w:r>
          </w:p>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членов ОЭСР  </w:t>
            </w: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США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287118</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15,9%</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19,7%</w:t>
            </w: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Германия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254746</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14,1%</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17,5%</w:t>
            </w: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Япония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212665</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11,8%</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14,6%</w:t>
            </w: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Франция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138471</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7,7%</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9,5%</w:t>
            </w: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Великобритания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121258</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6,7%</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8,3%</w:t>
            </w: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Италия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112449</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6,2%</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7,7%</w:t>
            </w: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Канада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91215</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5,1%</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6,3%</w:t>
            </w: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Корея </w:t>
            </w:r>
            <w:hyperlink w:anchor="Par236" w:history="1">
              <w:r w:rsidRPr="00F031A6">
                <w:rPr>
                  <w:rFonts w:ascii="Courier New" w:hAnsi="Courier New" w:cs="Courier New"/>
                  <w:color w:val="0000FF"/>
                  <w:sz w:val="20"/>
                  <w:szCs w:val="20"/>
                </w:rPr>
                <w:t>(1)</w:t>
              </w:r>
            </w:hyperlink>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81364</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4,5%</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5,6%</w:t>
            </w: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Нидерланды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81264</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4,5%</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5,6%</w:t>
            </w: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Бельгия и Люксембург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78598</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4,4%</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5,4%</w:t>
            </w:r>
          </w:p>
        </w:tc>
      </w:tr>
      <w:tr w:rsidR="005519F6" w:rsidRPr="00F031A6">
        <w:trPr>
          <w:trHeight w:val="400"/>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Итого для 10 крупнейших  </w:t>
            </w:r>
          </w:p>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стран-экспортеров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1459148</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81,0%</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100%  </w:t>
            </w:r>
          </w:p>
        </w:tc>
      </w:tr>
      <w:tr w:rsidR="005519F6" w:rsidRPr="00F031A6">
        <w:trPr>
          <w:tblCellSpacing w:w="5" w:type="nil"/>
        </w:trPr>
        <w:tc>
          <w:tcPr>
            <w:tcW w:w="3240" w:type="dxa"/>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ind w:firstLine="540"/>
              <w:jc w:val="both"/>
              <w:rPr>
                <w:rFonts w:cs="Calibri"/>
              </w:rPr>
            </w:pPr>
          </w:p>
        </w:tc>
        <w:tc>
          <w:tcPr>
            <w:tcW w:w="2040" w:type="dxa"/>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ind w:firstLine="540"/>
              <w:jc w:val="both"/>
              <w:rPr>
                <w:rFonts w:cs="Calibri"/>
              </w:rPr>
            </w:pPr>
          </w:p>
        </w:tc>
        <w:tc>
          <w:tcPr>
            <w:tcW w:w="2040" w:type="dxa"/>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ind w:firstLine="540"/>
              <w:jc w:val="both"/>
              <w:rPr>
                <w:rFonts w:cs="Calibri"/>
              </w:rPr>
            </w:pPr>
          </w:p>
        </w:tc>
        <w:tc>
          <w:tcPr>
            <w:tcW w:w="2040" w:type="dxa"/>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ind w:firstLine="540"/>
              <w:jc w:val="both"/>
              <w:rPr>
                <w:rFonts w:cs="Calibri"/>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Испания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42469</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2,4%</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Швейцария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40395</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2,2%</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Швеция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36710</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2,0%</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Мексика </w:t>
            </w:r>
            <w:hyperlink w:anchor="Par236" w:history="1">
              <w:r w:rsidRPr="00F031A6">
                <w:rPr>
                  <w:rFonts w:ascii="Courier New" w:hAnsi="Courier New" w:cs="Courier New"/>
                  <w:color w:val="0000FF"/>
                  <w:sz w:val="20"/>
                  <w:szCs w:val="20"/>
                </w:rPr>
                <w:t>(1)</w:t>
              </w:r>
            </w:hyperlink>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34233</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1,9%</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Австралия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27194</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1,5%</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Дания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24145</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1,3%</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Австрия </w:t>
            </w:r>
            <w:hyperlink w:anchor="Par235" w:history="1">
              <w:r w:rsidRPr="00F031A6">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22432</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1,2%</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Норвегия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21666</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1,2%</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Ирландия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19217</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1,1%</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Финляндия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17296</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1,0%</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Польша </w:t>
            </w:r>
            <w:hyperlink w:anchor="Par236" w:history="1">
              <w:r w:rsidRPr="00F031A6">
                <w:rPr>
                  <w:rFonts w:ascii="Courier New" w:hAnsi="Courier New" w:cs="Courier New"/>
                  <w:color w:val="0000FF"/>
                  <w:sz w:val="20"/>
                  <w:szCs w:val="20"/>
                </w:rPr>
                <w:t>(1)</w:t>
              </w:r>
            </w:hyperlink>
            <w:hyperlink w:anchor="Par235" w:history="1">
              <w:r w:rsidRPr="00F031A6">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12652</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0,7%</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Португалия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10801</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0,6%</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Турция </w:t>
            </w:r>
            <w:hyperlink w:anchor="Par235" w:history="1">
              <w:r w:rsidRPr="00F031A6">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8027</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0,4%</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Венгрия </w:t>
            </w:r>
            <w:hyperlink w:anchor="Par235" w:history="1">
              <w:r w:rsidRPr="00F031A6">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6795</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0,4%</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Новая Зеландия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6663</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0,4%</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Чешская Республика </w:t>
            </w:r>
            <w:hyperlink w:anchor="Par235" w:history="1">
              <w:r w:rsidRPr="00F031A6">
                <w:rPr>
                  <w:rFonts w:ascii="Courier New" w:hAnsi="Courier New" w:cs="Courier New"/>
                  <w:color w:val="0000FF"/>
                  <w:sz w:val="20"/>
                  <w:szCs w:val="20"/>
                </w:rPr>
                <w:t>&lt;***&gt;</w:t>
              </w:r>
            </w:hyperlink>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6263</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0,3%</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Греция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4606</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0,3%</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Исландия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949</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0,1%</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3240" w:type="dxa"/>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ind w:firstLine="540"/>
              <w:jc w:val="both"/>
              <w:rPr>
                <w:rFonts w:cs="Calibri"/>
              </w:rPr>
            </w:pPr>
          </w:p>
        </w:tc>
        <w:tc>
          <w:tcPr>
            <w:tcW w:w="2040" w:type="dxa"/>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ind w:firstLine="540"/>
              <w:jc w:val="both"/>
              <w:rPr>
                <w:rFonts w:cs="Calibri"/>
              </w:rPr>
            </w:pPr>
          </w:p>
        </w:tc>
        <w:tc>
          <w:tcPr>
            <w:tcW w:w="2040" w:type="dxa"/>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ind w:firstLine="540"/>
              <w:jc w:val="both"/>
              <w:rPr>
                <w:rFonts w:cs="Calibri"/>
              </w:rPr>
            </w:pPr>
          </w:p>
        </w:tc>
        <w:tc>
          <w:tcPr>
            <w:tcW w:w="2040" w:type="dxa"/>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ind w:firstLine="540"/>
              <w:jc w:val="both"/>
              <w:rPr>
                <w:rFonts w:cs="Calibri"/>
              </w:rPr>
            </w:pPr>
          </w:p>
        </w:tc>
      </w:tr>
      <w:tr w:rsidR="005519F6" w:rsidRPr="00F031A6">
        <w:trPr>
          <w:tblCellSpacing w:w="5" w:type="nil"/>
        </w:trPr>
        <w:tc>
          <w:tcPr>
            <w:tcW w:w="32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Всего по ОЭСР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1801661</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100%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bl>
    <w:p w:rsidR="005519F6" w:rsidRDefault="005519F6">
      <w:pPr>
        <w:widowControl w:val="0"/>
        <w:autoSpaceDE w:val="0"/>
        <w:autoSpaceDN w:val="0"/>
        <w:adjustRightInd w:val="0"/>
        <w:spacing w:after="0" w:line="240" w:lineRule="auto"/>
        <w:ind w:firstLine="540"/>
        <w:jc w:val="both"/>
        <w:rPr>
          <w:rFonts w:cs="Calibri"/>
        </w:rPr>
      </w:pPr>
    </w:p>
    <w:p w:rsidR="005519F6" w:rsidRDefault="005519F6">
      <w:pPr>
        <w:widowControl w:val="0"/>
        <w:autoSpaceDE w:val="0"/>
        <w:autoSpaceDN w:val="0"/>
        <w:adjustRightInd w:val="0"/>
        <w:spacing w:after="0" w:line="240" w:lineRule="auto"/>
        <w:ind w:firstLine="540"/>
        <w:jc w:val="both"/>
        <w:rPr>
          <w:rFonts w:cs="Calibri"/>
        </w:rPr>
      </w:pPr>
      <w:bookmarkStart w:id="36" w:name="Par235"/>
      <w:bookmarkEnd w:id="36"/>
      <w:r>
        <w:rPr>
          <w:rFonts w:cs="Calibri"/>
        </w:rPr>
        <w:t>Примечания: &lt;*&gt; 1990 - 1995 гг.; &lt;**&gt; 1991 - 1996 гг.; &lt;***&gt; 1993 - 1996 гг.</w:t>
      </w:r>
    </w:p>
    <w:p w:rsidR="005519F6" w:rsidRDefault="005519F6">
      <w:pPr>
        <w:widowControl w:val="0"/>
        <w:autoSpaceDE w:val="0"/>
        <w:autoSpaceDN w:val="0"/>
        <w:adjustRightInd w:val="0"/>
        <w:spacing w:after="0" w:line="240" w:lineRule="auto"/>
        <w:ind w:firstLine="540"/>
        <w:jc w:val="both"/>
        <w:rPr>
          <w:rFonts w:cs="Calibri"/>
        </w:rPr>
      </w:pPr>
      <w:bookmarkStart w:id="37" w:name="Par236"/>
      <w:bookmarkEnd w:id="37"/>
      <w:r>
        <w:rPr>
          <w:rFonts w:cs="Calibri"/>
        </w:rPr>
        <w:t>Источник: ОЭСР, (1) МВФ.</w:t>
      </w:r>
    </w:p>
    <w:p w:rsidR="005519F6" w:rsidRDefault="005519F6">
      <w:pPr>
        <w:widowControl w:val="0"/>
        <w:autoSpaceDE w:val="0"/>
        <w:autoSpaceDN w:val="0"/>
        <w:adjustRightInd w:val="0"/>
        <w:spacing w:after="0" w:line="240" w:lineRule="auto"/>
        <w:ind w:firstLine="540"/>
        <w:jc w:val="both"/>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В отношении Бельгии и Люксембурга: статистические данные о торговле Бельгии и Люксембурга существуют только для этих двух стран, взятых вместе. Что касается соблюдения </w:t>
      </w:r>
      <w:hyperlink w:anchor="Par133" w:history="1">
        <w:r>
          <w:rPr>
            <w:rFonts w:cs="Calibri"/>
            <w:color w:val="0000FF"/>
          </w:rPr>
          <w:t>пункта 1 статьи 15</w:t>
        </w:r>
      </w:hyperlink>
      <w:r>
        <w:rPr>
          <w:rFonts w:cs="Calibri"/>
        </w:rPr>
        <w:t xml:space="preserve">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стран-экспортеров ОЭСР передала вышеупомянутый документ депозитарию и общий объем экспорта этих двух стран будет засчитан </w:t>
      </w:r>
      <w:r>
        <w:rPr>
          <w:rFonts w:cs="Calibri"/>
        </w:rPr>
        <w:lastRenderedPageBreak/>
        <w:t xml:space="preserve">в счет тех 60 процентов суммарного объема экспорта вышеуказанных десяти стран, которые необходимы для вступления </w:t>
      </w:r>
      <w:hyperlink w:anchor="Par6" w:history="1">
        <w:r>
          <w:rPr>
            <w:rFonts w:cs="Calibri"/>
            <w:color w:val="0000FF"/>
          </w:rPr>
          <w:t>Конвенции</w:t>
        </w:r>
      </w:hyperlink>
      <w:r>
        <w:rPr>
          <w:rFonts w:cs="Calibri"/>
        </w:rPr>
        <w:t xml:space="preserve"> в силу согласно вышеозначенному ее положению.</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0"/>
        <w:rPr>
          <w:rFonts w:cs="Calibri"/>
          <w:b/>
          <w:bCs/>
        </w:rPr>
      </w:pPr>
      <w:bookmarkStart w:id="38" w:name="Par244"/>
      <w:bookmarkEnd w:id="38"/>
      <w:r>
        <w:rPr>
          <w:rFonts w:cs="Calibri"/>
          <w:b/>
          <w:bCs/>
        </w:rPr>
        <w:t>КОММЕНТАРИЙ</w:t>
      </w:r>
    </w:p>
    <w:p w:rsidR="005519F6" w:rsidRDefault="005519F6">
      <w:pPr>
        <w:widowControl w:val="0"/>
        <w:autoSpaceDE w:val="0"/>
        <w:autoSpaceDN w:val="0"/>
        <w:adjustRightInd w:val="0"/>
        <w:spacing w:after="0" w:line="240" w:lineRule="auto"/>
        <w:jc w:val="center"/>
        <w:rPr>
          <w:rFonts w:cs="Calibri"/>
          <w:b/>
          <w:bCs/>
        </w:rPr>
      </w:pPr>
      <w:r>
        <w:rPr>
          <w:rFonts w:cs="Calibri"/>
          <w:b/>
          <w:bCs/>
        </w:rPr>
        <w:t>К КОНВЕНЦИИ ПО БОРЬБЕ С ПОДКУПОМ ДОЛЖНОСТНЫХ ЛИЦ</w:t>
      </w:r>
    </w:p>
    <w:p w:rsidR="005519F6" w:rsidRDefault="005519F6">
      <w:pPr>
        <w:widowControl w:val="0"/>
        <w:autoSpaceDE w:val="0"/>
        <w:autoSpaceDN w:val="0"/>
        <w:adjustRightInd w:val="0"/>
        <w:spacing w:after="0" w:line="240" w:lineRule="auto"/>
        <w:jc w:val="center"/>
        <w:rPr>
          <w:rFonts w:cs="Calibri"/>
          <w:b/>
          <w:bCs/>
        </w:rPr>
      </w:pPr>
      <w:r>
        <w:rPr>
          <w:rFonts w:cs="Calibri"/>
          <w:b/>
          <w:bCs/>
        </w:rPr>
        <w:t>ИНОСТРАННЫХ ГОСУДАРСТВ ПРИ ПРОВЕДЕНИИ МЕЖДУНАРОДНЫХ</w:t>
      </w:r>
    </w:p>
    <w:p w:rsidR="005519F6" w:rsidRDefault="005519F6">
      <w:pPr>
        <w:widowControl w:val="0"/>
        <w:autoSpaceDE w:val="0"/>
        <w:autoSpaceDN w:val="0"/>
        <w:adjustRightInd w:val="0"/>
        <w:spacing w:after="0" w:line="240" w:lineRule="auto"/>
        <w:jc w:val="center"/>
        <w:rPr>
          <w:rFonts w:cs="Calibri"/>
          <w:b/>
          <w:bCs/>
        </w:rPr>
      </w:pPr>
      <w:r>
        <w:rPr>
          <w:rFonts w:cs="Calibri"/>
          <w:b/>
          <w:bCs/>
        </w:rPr>
        <w:t>ДЕЛОВЫХ ОПЕРАЦИЙ</w:t>
      </w:r>
    </w:p>
    <w:p w:rsidR="005519F6" w:rsidRDefault="005519F6">
      <w:pPr>
        <w:widowControl w:val="0"/>
        <w:autoSpaceDE w:val="0"/>
        <w:autoSpaceDN w:val="0"/>
        <w:adjustRightInd w:val="0"/>
        <w:spacing w:after="0" w:line="240" w:lineRule="auto"/>
        <w:jc w:val="center"/>
        <w:rPr>
          <w:rFonts w:cs="Calibri"/>
          <w:b/>
          <w:bCs/>
        </w:rPr>
      </w:pPr>
    </w:p>
    <w:p w:rsidR="005519F6" w:rsidRDefault="005519F6">
      <w:pPr>
        <w:widowControl w:val="0"/>
        <w:autoSpaceDE w:val="0"/>
        <w:autoSpaceDN w:val="0"/>
        <w:adjustRightInd w:val="0"/>
        <w:spacing w:after="0" w:line="240" w:lineRule="auto"/>
        <w:jc w:val="center"/>
        <w:rPr>
          <w:rFonts w:cs="Calibri"/>
          <w:b/>
          <w:bCs/>
        </w:rPr>
      </w:pPr>
      <w:r>
        <w:rPr>
          <w:rFonts w:cs="Calibri"/>
          <w:b/>
          <w:bCs/>
        </w:rPr>
        <w:t>(21 ноября 1997 года)</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39" w:name="Par251"/>
      <w:bookmarkEnd w:id="39"/>
      <w:r>
        <w:rPr>
          <w:rFonts w:cs="Calibri"/>
        </w:rPr>
        <w:t>Общие положения</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1. В данной </w:t>
      </w:r>
      <w:hyperlink w:anchor="Par6" w:history="1">
        <w:r>
          <w:rPr>
            <w:rFonts w:cs="Calibri"/>
            <w:color w:val="0000FF"/>
          </w:rPr>
          <w:t>Конвенции</w:t>
        </w:r>
      </w:hyperlink>
      <w:r>
        <w:rPr>
          <w:rFonts w:cs="Calibri"/>
        </w:rPr>
        <w:t xml:space="preserve"> рассматривается явление, которое называется "активной коррупцией" или "активным подкупом" в терминологии национальных законодательств и означает преступление, совершаемое лицом, которое обещает или дает взятку, в отличие от понятия "пассивного взяточничества", под которым подразумевается преступление, совершаемое должностным лицом, которое получает взятку. В Конвенции не используется термин "активное взяточничество", в соответствии с которым подразумевается, что взяткодатель взял на себя инициативу предложения взятки, а ее получатель - лишь пассивная жертва. Разработчики </w:t>
      </w:r>
      <w:hyperlink w:anchor="Par6" w:history="1">
        <w:r>
          <w:rPr>
            <w:rFonts w:cs="Calibri"/>
            <w:color w:val="0000FF"/>
          </w:rPr>
          <w:t>Конвенции</w:t>
        </w:r>
      </w:hyperlink>
      <w:r>
        <w:rPr>
          <w:rFonts w:cs="Calibri"/>
        </w:rPr>
        <w:t xml:space="preserve"> сделали это во избежание неправильного толкования данного термина читателями, не имеющими специальных юридических знаний. По существу, в ряде ситуаций взяткополучатель оказывает давление или вынуждает взяткодателя к даче взятки и в этом смысле он проявляет большую активность при совершении преступления.</w:t>
      </w:r>
    </w:p>
    <w:p w:rsidR="005519F6" w:rsidRDefault="005519F6">
      <w:pPr>
        <w:widowControl w:val="0"/>
        <w:autoSpaceDE w:val="0"/>
        <w:autoSpaceDN w:val="0"/>
        <w:adjustRightInd w:val="0"/>
        <w:spacing w:after="0" w:line="240" w:lineRule="auto"/>
        <w:ind w:firstLine="540"/>
        <w:jc w:val="both"/>
        <w:rPr>
          <w:rFonts w:cs="Calibri"/>
        </w:rPr>
      </w:pPr>
      <w:r>
        <w:rPr>
          <w:rFonts w:cs="Calibri"/>
        </w:rPr>
        <w:t>2. Одной из задач Конвенции является достижение функциональной эквивалентности мер, принимаемых Сторонами в сфере наказания подкупа должностных лиц иностранных государств без выдвижения требований в отношении однородности или изменения фундаментальных принципов правовой системы конкретной Стороны.</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40" w:name="Par256"/>
      <w:bookmarkEnd w:id="40"/>
      <w:r>
        <w:rPr>
          <w:rFonts w:cs="Calibri"/>
        </w:rPr>
        <w:t>Статья 1</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Подкуп должностных лиц иностранных государств</w:t>
      </w:r>
    </w:p>
    <w:p w:rsidR="005519F6" w:rsidRDefault="005519F6">
      <w:pPr>
        <w:widowControl w:val="0"/>
        <w:autoSpaceDE w:val="0"/>
        <w:autoSpaceDN w:val="0"/>
        <w:adjustRightInd w:val="0"/>
        <w:spacing w:after="0" w:line="240" w:lineRule="auto"/>
        <w:jc w:val="center"/>
        <w:rPr>
          <w:rFonts w:cs="Calibri"/>
        </w:rPr>
      </w:pPr>
      <w:r>
        <w:rPr>
          <w:rFonts w:cs="Calibri"/>
        </w:rPr>
        <w:t>как уголовное преступление</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К </w:t>
      </w:r>
      <w:hyperlink w:anchor="Par29" w:history="1">
        <w:r>
          <w:rPr>
            <w:rFonts w:cs="Calibri"/>
            <w:color w:val="0000FF"/>
          </w:rPr>
          <w:t>пункту 1</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3. </w:t>
      </w:r>
      <w:hyperlink w:anchor="Par25" w:history="1">
        <w:r>
          <w:rPr>
            <w:rFonts w:cs="Calibri"/>
            <w:color w:val="0000FF"/>
          </w:rPr>
          <w:t>Статья 1</w:t>
        </w:r>
      </w:hyperlink>
      <w:r>
        <w:rPr>
          <w:rFonts w:cs="Calibri"/>
        </w:rPr>
        <w:t xml:space="preserve"> устанавливает стандарт, который должен быть выполнен Сторонами, но она не обязывает Стороны точно использовать приведенную в ней терминологию при определении данного преступления в соответствии с внутренним законодательством. Сторона может использовать различные подходы к выполнению своих обязательств при условии, что осуждение конкретного лица, виновного в совершении данного преступления, не требует доказательства новых элементов наряду с теми признаками состава преступления, которые необходимо будет доказывать в случае, если бы данное преступление определялось в соответствии с данным пунктом. Например, закон, устанавливающий общий запрет на дачу взятки субъектам деловых отношений и конкретно не рассматривающий подкуп должностного лица иностранного государства, и закон, специально посвященный этому преступлению, могли бы соответствовать требованиям этой </w:t>
      </w:r>
      <w:hyperlink w:anchor="Par25" w:history="1">
        <w:r>
          <w:rPr>
            <w:rFonts w:cs="Calibri"/>
            <w:color w:val="0000FF"/>
          </w:rPr>
          <w:t>статьи</w:t>
        </w:r>
      </w:hyperlink>
      <w:r>
        <w:rPr>
          <w:rFonts w:cs="Calibri"/>
        </w:rPr>
        <w:t>. Подобным же образом, закон, содержащий определение преступления в терминах платежных сделок или операций "с целью побудить должностное лицо нарушить свои официальные обязательства", мог бы соответствовать данному критерию при условии наличия понимания того, что каждое должностное лицо обязано принимать объективные и беспристрастные решения и оценки и что это было "автономное" определение, не требующее доказательства закона страны конкретного должностного лица.</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4. В пределах содержания </w:t>
      </w:r>
      <w:hyperlink w:anchor="Par29" w:history="1">
        <w:r>
          <w:rPr>
            <w:rFonts w:cs="Calibri"/>
            <w:color w:val="0000FF"/>
          </w:rPr>
          <w:t>пункта 1</w:t>
        </w:r>
      </w:hyperlink>
      <w:r>
        <w:rPr>
          <w:rFonts w:cs="Calibri"/>
        </w:rPr>
        <w:t xml:space="preserve"> преступлением является предложение взятки для получения или сохранения деловых выгод или иных ненадлежащих преимуществ, независимо от того, является ли конкретная компания наиболее квалифицированным покупателем или участником торгов или того, что она в любом случае была бы получателем таких деловых выгод </w:t>
      </w:r>
      <w:r>
        <w:rPr>
          <w:rFonts w:cs="Calibri"/>
        </w:rPr>
        <w:lastRenderedPageBreak/>
        <w:t>или преимуществ.</w:t>
      </w:r>
    </w:p>
    <w:p w:rsidR="005519F6" w:rsidRDefault="005519F6">
      <w:pPr>
        <w:widowControl w:val="0"/>
        <w:autoSpaceDE w:val="0"/>
        <w:autoSpaceDN w:val="0"/>
        <w:adjustRightInd w:val="0"/>
        <w:spacing w:after="0" w:line="240" w:lineRule="auto"/>
        <w:ind w:firstLine="540"/>
        <w:jc w:val="both"/>
        <w:rPr>
          <w:rFonts w:cs="Calibri"/>
        </w:rPr>
      </w:pPr>
      <w:r>
        <w:rPr>
          <w:rFonts w:cs="Calibri"/>
        </w:rPr>
        <w:t>5. Термин "другие ненадлежащие преимущества" относится к тому, на получение чего конкретная компания не имела четко определенных прав, например, на лицензию на эксплуатацию предприятия, не выполняющего требований действующих законов.</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6. Поведение, описанное в </w:t>
      </w:r>
      <w:hyperlink w:anchor="Par29" w:history="1">
        <w:r>
          <w:rPr>
            <w:rFonts w:cs="Calibri"/>
            <w:color w:val="0000FF"/>
          </w:rPr>
          <w:t>п. 1</w:t>
        </w:r>
      </w:hyperlink>
      <w:r>
        <w:rPr>
          <w:rFonts w:cs="Calibri"/>
        </w:rPr>
        <w:t>, подпадает под признаки преступления, независимо от того, предложена или обещана взятка, или материальные или иные преимущества предоставляются от имени конкретного лица или от имени другого физического или юридического лица.</w:t>
      </w:r>
    </w:p>
    <w:p w:rsidR="005519F6" w:rsidRDefault="005519F6">
      <w:pPr>
        <w:widowControl w:val="0"/>
        <w:autoSpaceDE w:val="0"/>
        <w:autoSpaceDN w:val="0"/>
        <w:adjustRightInd w:val="0"/>
        <w:spacing w:after="0" w:line="240" w:lineRule="auto"/>
        <w:ind w:firstLine="540"/>
        <w:jc w:val="both"/>
        <w:rPr>
          <w:rFonts w:cs="Calibri"/>
        </w:rPr>
      </w:pPr>
      <w:r>
        <w:rPr>
          <w:rFonts w:cs="Calibri"/>
        </w:rPr>
        <w:t>7. Такое поведение будет представлять преступление независимо от, inter alia, стоимостного выражения преимущества, его результатов, отношения ко взяточничеству, закрепленного в местных обычаях, терпимости местных властей к такого рода платежам или предполагаемой необходимости совершения платежа в интересах получения или сохранения деловой выгоды или других ненадлежащих преимуществ.</w:t>
      </w:r>
    </w:p>
    <w:p w:rsidR="005519F6" w:rsidRDefault="005519F6">
      <w:pPr>
        <w:widowControl w:val="0"/>
        <w:autoSpaceDE w:val="0"/>
        <w:autoSpaceDN w:val="0"/>
        <w:adjustRightInd w:val="0"/>
        <w:spacing w:after="0" w:line="240" w:lineRule="auto"/>
        <w:ind w:firstLine="540"/>
        <w:jc w:val="both"/>
        <w:rPr>
          <w:rFonts w:cs="Calibri"/>
        </w:rPr>
      </w:pPr>
      <w:r>
        <w:rPr>
          <w:rFonts w:cs="Calibri"/>
        </w:rPr>
        <w:t>8. Вместе с тем не будет преступлением, если преимущества разрешены или необходимы в соответствии с писаным правом или нормативно-правовой базой страны должностного лица, включая и прецедентное право.</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9. Мелкие "поощрительные" платежи не относятся к категории платежей, совершаемых с целью "получения или сохранения бизнеса или иных ненадлежащих преимуществ" в контексте </w:t>
      </w:r>
      <w:hyperlink w:anchor="Par29" w:history="1">
        <w:r>
          <w:rPr>
            <w:rFonts w:cs="Calibri"/>
            <w:color w:val="0000FF"/>
          </w:rPr>
          <w:t>п. 1</w:t>
        </w:r>
      </w:hyperlink>
      <w:r>
        <w:rPr>
          <w:rFonts w:cs="Calibri"/>
        </w:rPr>
        <w:t xml:space="preserve"> и, соответственно, тоже не относятся к категории преступления. Такие платежи, которые совершаются в некоторых странах для того, чтобы стимулировать выполнение своих функций должностными лицами, таких как, например, выдача лицензий или разрешений, как правило, незаконны в данном иностранном государстве. Другие страны могут и должны стремиться устранить это аморальное явление, используя такие средства, как оказание поддержки программам эффективного административного и корпоративного управления. Вместе с тем криминализация такого поведения другими странами не представляется эффективным или практичным дополнительным подходом.</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10. В соответствии с правовой системой некоторых стран преимущество, обещанное или предоставленное любому лицу в предвосхищении того, что он или она будут назначены на государственную должность в иностранном государстве, попадает под признаки преступления, описанные в </w:t>
      </w:r>
      <w:hyperlink w:anchor="Par29" w:history="1">
        <w:r>
          <w:rPr>
            <w:rFonts w:cs="Calibri"/>
            <w:color w:val="0000FF"/>
          </w:rPr>
          <w:t>ст. 1, п. п. 1</w:t>
        </w:r>
      </w:hyperlink>
      <w:r>
        <w:rPr>
          <w:rFonts w:cs="Calibri"/>
        </w:rPr>
        <w:t xml:space="preserve"> или </w:t>
      </w:r>
      <w:hyperlink w:anchor="Par30" w:history="1">
        <w:r>
          <w:rPr>
            <w:rFonts w:cs="Calibri"/>
            <w:color w:val="0000FF"/>
          </w:rPr>
          <w:t>2</w:t>
        </w:r>
      </w:hyperlink>
      <w:r>
        <w:rPr>
          <w:rFonts w:cs="Calibri"/>
        </w:rPr>
        <w:t xml:space="preserve">. Согласно правовым системам многих стран, такое поведение считается отличным от преступлений, охваченных настоящей </w:t>
      </w:r>
      <w:hyperlink w:anchor="Par6" w:history="1">
        <w:r>
          <w:rPr>
            <w:rFonts w:cs="Calibri"/>
            <w:color w:val="0000FF"/>
          </w:rPr>
          <w:t>Конвенцией</w:t>
        </w:r>
      </w:hyperlink>
      <w:r>
        <w:rPr>
          <w:rFonts w:cs="Calibri"/>
        </w:rPr>
        <w:t>, в некоторых технических деталях. Вместе с тем наблюдаются общая озабоченность этим явлением и стремление найти пути решения этой проблемы в процессе дальнейшей работы.</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К </w:t>
      </w:r>
      <w:hyperlink w:anchor="Par30" w:history="1">
        <w:r>
          <w:rPr>
            <w:rFonts w:cs="Calibri"/>
            <w:color w:val="0000FF"/>
          </w:rPr>
          <w:t>пункту 2</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11. Преступления, описанные в </w:t>
      </w:r>
      <w:hyperlink w:anchor="Par30" w:history="1">
        <w:r>
          <w:rPr>
            <w:rFonts w:cs="Calibri"/>
            <w:color w:val="0000FF"/>
          </w:rPr>
          <w:t>п. 2</w:t>
        </w:r>
      </w:hyperlink>
      <w:r>
        <w:rPr>
          <w:rFonts w:cs="Calibri"/>
        </w:rPr>
        <w:t>, истолковываются с точки зрения их обычного содержания в национальных правовых системах. Соответственным образом, если санкционирование, принуждение или одно из перечисленных действий, которые не приводят к дальнейшим действиям, не наказуемы согласно правовой системе Стороны, то тогда от Стороны и не будет требоваться применения уголовного преследования в отношении подкупа должностного лица иностранного государства.</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К </w:t>
      </w:r>
      <w:hyperlink w:anchor="Par32" w:history="1">
        <w:r>
          <w:rPr>
            <w:rFonts w:cs="Calibri"/>
            <w:color w:val="0000FF"/>
          </w:rPr>
          <w:t>пункту 4</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12. "Государственные функции" означают любую деятельность в государственных интересах, полномочия в отношении проведения которой делегированы лицу иностранным государством, например, выполнение заданий в сфере государственных закупок.</w:t>
      </w:r>
    </w:p>
    <w:p w:rsidR="005519F6" w:rsidRDefault="005519F6">
      <w:pPr>
        <w:widowControl w:val="0"/>
        <w:autoSpaceDE w:val="0"/>
        <w:autoSpaceDN w:val="0"/>
        <w:adjustRightInd w:val="0"/>
        <w:spacing w:after="0" w:line="240" w:lineRule="auto"/>
        <w:ind w:firstLine="540"/>
        <w:jc w:val="both"/>
        <w:rPr>
          <w:rFonts w:cs="Calibri"/>
        </w:rPr>
      </w:pPr>
      <w:r>
        <w:rPr>
          <w:rFonts w:cs="Calibri"/>
        </w:rPr>
        <w:t>13. "Государственный орган" - это структура, созданная в соответствии с публичным правом для выполнения конкретных задач в интересах государства.</w:t>
      </w:r>
    </w:p>
    <w:p w:rsidR="005519F6" w:rsidRDefault="005519F6">
      <w:pPr>
        <w:widowControl w:val="0"/>
        <w:autoSpaceDE w:val="0"/>
        <w:autoSpaceDN w:val="0"/>
        <w:adjustRightInd w:val="0"/>
        <w:spacing w:after="0" w:line="240" w:lineRule="auto"/>
        <w:ind w:firstLine="540"/>
        <w:jc w:val="both"/>
        <w:rPr>
          <w:rFonts w:cs="Calibri"/>
        </w:rPr>
      </w:pPr>
      <w:r>
        <w:rPr>
          <w:rFonts w:cs="Calibri"/>
        </w:rPr>
        <w:t>14. "Государственное предприятие" - это любое предприятие любой юридической формы, на которое правительство или правительства могут прямо или косвенно осуществлять решающее влияние. Считается, что так обстоит дело, inter alia, когда правительство или правительства владеют большей частью выпущенного по подписке акционерного капитала, контролируют большинство акций, дающих право голоса и выпущенных предприятием, или могут назначать большинство членов административного, управляющего или надзорного органа предприятия.</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15. Если предприятие работает на обычной коммерческой основе на соответствующем </w:t>
      </w:r>
      <w:r>
        <w:rPr>
          <w:rFonts w:cs="Calibri"/>
        </w:rPr>
        <w:lastRenderedPageBreak/>
        <w:t xml:space="preserve">рынке, то есть на основе, которая по существу эквивалентна основе деятельности частного предприятия без избирательного предоставления субсидий и других льгот, то в соответствии с </w:t>
      </w:r>
      <w:hyperlink w:anchor="Par6" w:history="1">
        <w:r>
          <w:rPr>
            <w:rFonts w:cs="Calibri"/>
            <w:color w:val="0000FF"/>
          </w:rPr>
          <w:t>Конвенцией</w:t>
        </w:r>
      </w:hyperlink>
      <w:r>
        <w:rPr>
          <w:rFonts w:cs="Calibri"/>
        </w:rPr>
        <w:t xml:space="preserve"> не считается, что должностное лицо государственного предприятия выполняет государственную функцию.</w:t>
      </w:r>
    </w:p>
    <w:p w:rsidR="005519F6" w:rsidRDefault="005519F6">
      <w:pPr>
        <w:widowControl w:val="0"/>
        <w:autoSpaceDE w:val="0"/>
        <w:autoSpaceDN w:val="0"/>
        <w:adjustRightInd w:val="0"/>
        <w:spacing w:after="0" w:line="240" w:lineRule="auto"/>
        <w:ind w:firstLine="540"/>
        <w:jc w:val="both"/>
        <w:rPr>
          <w:rFonts w:cs="Calibri"/>
        </w:rPr>
      </w:pPr>
      <w:r>
        <w:rPr>
          <w:rFonts w:cs="Calibri"/>
        </w:rPr>
        <w:t>16. В особых обстоятельствах государственная власть может находиться в руках лиц, которые формально не являются должностными лицами государства (например, руководителей политических партий в однопартийных государствах). Такие лица, благодаря фактическому исполнению государственных функций могут рассматриваться в качестве должностных лиц иностранных государств в соответствии с правовым принципами некоторых стран.</w:t>
      </w:r>
    </w:p>
    <w:p w:rsidR="005519F6" w:rsidRDefault="005519F6">
      <w:pPr>
        <w:widowControl w:val="0"/>
        <w:autoSpaceDE w:val="0"/>
        <w:autoSpaceDN w:val="0"/>
        <w:adjustRightInd w:val="0"/>
        <w:spacing w:after="0" w:line="240" w:lineRule="auto"/>
        <w:ind w:firstLine="540"/>
        <w:jc w:val="both"/>
        <w:rPr>
          <w:rFonts w:cs="Calibri"/>
        </w:rPr>
      </w:pPr>
      <w:r>
        <w:rPr>
          <w:rFonts w:cs="Calibri"/>
        </w:rPr>
        <w:t>17. "Государственные международные организации" включают любые международные государства, создаваемые государствами, правительствами или другими государственными международными организациями, независимо от формы организации и сферы компетенции, включая, например, организации региональной экономической интеграции, такие как Европейский Союз.</w:t>
      </w:r>
    </w:p>
    <w:p w:rsidR="005519F6" w:rsidRDefault="005519F6">
      <w:pPr>
        <w:widowControl w:val="0"/>
        <w:autoSpaceDE w:val="0"/>
        <w:autoSpaceDN w:val="0"/>
        <w:adjustRightInd w:val="0"/>
        <w:spacing w:after="0" w:line="240" w:lineRule="auto"/>
        <w:ind w:firstLine="540"/>
        <w:jc w:val="both"/>
        <w:rPr>
          <w:rFonts w:cs="Calibri"/>
        </w:rPr>
      </w:pPr>
      <w:r>
        <w:rPr>
          <w:rFonts w:cs="Calibri"/>
        </w:rPr>
        <w:t>18. "Иностранное государство" не ограничивается государствами, но включает любые организованные иностранную территорию или территориальное образование, например, автономную территорию или отдельную таможенную зону.</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19. Один пример взяточничества, который рассматривался согласно определению, данному в </w:t>
      </w:r>
      <w:hyperlink w:anchor="Par35" w:history="1">
        <w:r>
          <w:rPr>
            <w:rFonts w:cs="Calibri"/>
            <w:color w:val="0000FF"/>
          </w:rPr>
          <w:t>п. 4 "с"</w:t>
        </w:r>
      </w:hyperlink>
      <w:r>
        <w:rPr>
          <w:rFonts w:cs="Calibri"/>
        </w:rPr>
        <w:t>, состоит в том, что вице-президент компании дает взятку высокопоставленному должностному лицу правительства для того, чтобы это лицо использовало свои должностные возможности, хотя и выходящие за пределы его компетенции, в целях оказания влияния на другое должностное лицо и вынуждения его предоставить контракт данной компании.</w:t>
      </w:r>
    </w:p>
    <w:p w:rsidR="005519F6" w:rsidRDefault="005519F6">
      <w:pPr>
        <w:widowControl w:val="0"/>
        <w:autoSpaceDE w:val="0"/>
        <w:autoSpaceDN w:val="0"/>
        <w:adjustRightInd w:val="0"/>
        <w:spacing w:after="0" w:line="240" w:lineRule="auto"/>
        <w:rPr>
          <w:rFonts w:cs="Calibri"/>
        </w:rPr>
      </w:pPr>
    </w:p>
    <w:bookmarkStart w:id="41" w:name="Par284"/>
    <w:bookmarkEnd w:id="41"/>
    <w:p w:rsidR="005519F6" w:rsidRDefault="005519F6">
      <w:pPr>
        <w:widowControl w:val="0"/>
        <w:autoSpaceDE w:val="0"/>
        <w:autoSpaceDN w:val="0"/>
        <w:adjustRightInd w:val="0"/>
        <w:spacing w:after="0" w:line="240" w:lineRule="auto"/>
        <w:jc w:val="center"/>
        <w:outlineLvl w:val="1"/>
        <w:rPr>
          <w:rFonts w:cs="Calibri"/>
        </w:rPr>
      </w:pPr>
      <w:r>
        <w:rPr>
          <w:rFonts w:cs="Calibri"/>
        </w:rPr>
        <w:fldChar w:fldCharType="begin"/>
      </w:r>
      <w:r>
        <w:rPr>
          <w:rFonts w:cs="Calibri"/>
        </w:rPr>
        <w:instrText xml:space="preserve">HYPERLINK \l Par37  </w:instrText>
      </w:r>
      <w:r>
        <w:rPr>
          <w:rFonts w:cs="Calibri"/>
        </w:rPr>
        <w:fldChar w:fldCharType="separate"/>
      </w:r>
      <w:r>
        <w:rPr>
          <w:rFonts w:cs="Calibri"/>
          <w:color w:val="0000FF"/>
        </w:rPr>
        <w:t>Статья 2</w:t>
      </w:r>
      <w:r>
        <w:rPr>
          <w:rFonts w:cs="Calibri"/>
        </w:rPr>
        <w:fldChar w:fldCharType="end"/>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Ответственность юридических лиц</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20. В случае, когда уголовная ответственность неприменима к юридическим лицам по правовым условиям Стороны, Сторона будет обязана установить такую уголовную ответственность.</w:t>
      </w:r>
    </w:p>
    <w:p w:rsidR="005519F6" w:rsidRDefault="005519F6">
      <w:pPr>
        <w:widowControl w:val="0"/>
        <w:autoSpaceDE w:val="0"/>
        <w:autoSpaceDN w:val="0"/>
        <w:adjustRightInd w:val="0"/>
        <w:spacing w:after="0" w:line="240" w:lineRule="auto"/>
        <w:rPr>
          <w:rFonts w:cs="Calibri"/>
        </w:rPr>
      </w:pPr>
    </w:p>
    <w:bookmarkStart w:id="42" w:name="Par290"/>
    <w:bookmarkEnd w:id="42"/>
    <w:p w:rsidR="005519F6" w:rsidRDefault="005519F6">
      <w:pPr>
        <w:widowControl w:val="0"/>
        <w:autoSpaceDE w:val="0"/>
        <w:autoSpaceDN w:val="0"/>
        <w:adjustRightInd w:val="0"/>
        <w:spacing w:after="0" w:line="240" w:lineRule="auto"/>
        <w:jc w:val="center"/>
        <w:outlineLvl w:val="1"/>
        <w:rPr>
          <w:rFonts w:cs="Calibri"/>
        </w:rPr>
      </w:pPr>
      <w:r>
        <w:rPr>
          <w:rFonts w:cs="Calibri"/>
        </w:rPr>
        <w:fldChar w:fldCharType="begin"/>
      </w:r>
      <w:r>
        <w:rPr>
          <w:rFonts w:cs="Calibri"/>
        </w:rPr>
        <w:instrText xml:space="preserve">HYPERLINK \l Par43  </w:instrText>
      </w:r>
      <w:r>
        <w:rPr>
          <w:rFonts w:cs="Calibri"/>
        </w:rPr>
        <w:fldChar w:fldCharType="separate"/>
      </w:r>
      <w:r>
        <w:rPr>
          <w:rFonts w:cs="Calibri"/>
          <w:color w:val="0000FF"/>
        </w:rPr>
        <w:t>Статья 3</w:t>
      </w:r>
      <w:r>
        <w:rPr>
          <w:rFonts w:cs="Calibri"/>
        </w:rPr>
        <w:fldChar w:fldCharType="end"/>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Санкции</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К </w:t>
      </w:r>
      <w:hyperlink w:anchor="Par49" w:history="1">
        <w:r>
          <w:rPr>
            <w:rFonts w:cs="Calibri"/>
            <w:color w:val="0000FF"/>
          </w:rPr>
          <w:t>пункту 3</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21. "Доход" от подкупа - это прибыль или иные блага, которые получает взяткодатель от совершения сделки или иные ненадлежащие преимущества, получаемые или сохраняемые посредством дачи взятки.</w:t>
      </w:r>
    </w:p>
    <w:p w:rsidR="005519F6" w:rsidRDefault="005519F6">
      <w:pPr>
        <w:widowControl w:val="0"/>
        <w:autoSpaceDE w:val="0"/>
        <w:autoSpaceDN w:val="0"/>
        <w:adjustRightInd w:val="0"/>
        <w:spacing w:after="0" w:line="240" w:lineRule="auto"/>
        <w:ind w:firstLine="540"/>
        <w:jc w:val="both"/>
        <w:rPr>
          <w:rFonts w:cs="Calibri"/>
        </w:rPr>
      </w:pPr>
      <w:r>
        <w:rPr>
          <w:rFonts w:cs="Calibri"/>
        </w:rPr>
        <w:t>22. Термин "конфискация" означает потерю, когда это применимо, и означает постоянное лишение имущества по решению суда или другого компетентного органа. Этот пункт не наносит ущерба правам потерпевших.</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23. </w:t>
      </w:r>
      <w:hyperlink w:anchor="Par49" w:history="1">
        <w:r>
          <w:rPr>
            <w:rFonts w:cs="Calibri"/>
            <w:color w:val="0000FF"/>
          </w:rPr>
          <w:t>Пункт 3</w:t>
        </w:r>
      </w:hyperlink>
      <w:r>
        <w:rPr>
          <w:rFonts w:cs="Calibri"/>
        </w:rPr>
        <w:t xml:space="preserve"> не исключает установления соответствующих пределов финансовых санкций.</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К </w:t>
      </w:r>
      <w:hyperlink w:anchor="Par50" w:history="1">
        <w:r>
          <w:rPr>
            <w:rFonts w:cs="Calibri"/>
            <w:color w:val="0000FF"/>
          </w:rPr>
          <w:t>пункту 4</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24. Гражданские или административные санкции, отличные от неуголовных штрафов, которые могут применяться к юридическим лицам за акт подкупа должностного лица иностранного государства, могут включать: лишение права на получение государственных льгот или содействия; временное или постоянное исключение из числа участников государственных закупок или запрещение заниматься другими видами коммерческой деятельности; установление судебного надзора; принятие судебного приказа о прекращении деятельности компании.</w:t>
      </w:r>
    </w:p>
    <w:p w:rsidR="005519F6" w:rsidRDefault="005519F6">
      <w:pPr>
        <w:widowControl w:val="0"/>
        <w:autoSpaceDE w:val="0"/>
        <w:autoSpaceDN w:val="0"/>
        <w:adjustRightInd w:val="0"/>
        <w:spacing w:after="0" w:line="240" w:lineRule="auto"/>
        <w:rPr>
          <w:rFonts w:cs="Calibri"/>
        </w:rPr>
      </w:pPr>
    </w:p>
    <w:bookmarkStart w:id="43" w:name="Par302"/>
    <w:bookmarkEnd w:id="43"/>
    <w:p w:rsidR="005519F6" w:rsidRDefault="005519F6">
      <w:pPr>
        <w:widowControl w:val="0"/>
        <w:autoSpaceDE w:val="0"/>
        <w:autoSpaceDN w:val="0"/>
        <w:adjustRightInd w:val="0"/>
        <w:spacing w:after="0" w:line="240" w:lineRule="auto"/>
        <w:jc w:val="center"/>
        <w:outlineLvl w:val="1"/>
        <w:rPr>
          <w:rFonts w:cs="Calibri"/>
        </w:rPr>
      </w:pPr>
      <w:r>
        <w:rPr>
          <w:rFonts w:cs="Calibri"/>
        </w:rPr>
        <w:fldChar w:fldCharType="begin"/>
      </w:r>
      <w:r>
        <w:rPr>
          <w:rFonts w:cs="Calibri"/>
        </w:rPr>
        <w:instrText xml:space="preserve">HYPERLINK \l Par52  </w:instrText>
      </w:r>
      <w:r>
        <w:rPr>
          <w:rFonts w:cs="Calibri"/>
        </w:rPr>
        <w:fldChar w:fldCharType="separate"/>
      </w:r>
      <w:r>
        <w:rPr>
          <w:rFonts w:cs="Calibri"/>
          <w:color w:val="0000FF"/>
        </w:rPr>
        <w:t>Статья 4</w:t>
      </w:r>
      <w:r>
        <w:rPr>
          <w:rFonts w:cs="Calibri"/>
        </w:rPr>
        <w:fldChar w:fldCharType="end"/>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lastRenderedPageBreak/>
        <w:t>Юрисдикция</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К </w:t>
      </w:r>
      <w:hyperlink w:anchor="Par56" w:history="1">
        <w:r>
          <w:rPr>
            <w:rFonts w:cs="Calibri"/>
            <w:color w:val="0000FF"/>
          </w:rPr>
          <w:t>пункту 1</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25. Территориальная основа для юрисдикции подлежит широкому толкованию для того, чтобы не требовалось установление всесторонней физической связи с актом дачи взятки.</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К </w:t>
      </w:r>
      <w:hyperlink w:anchor="Par57" w:history="1">
        <w:r>
          <w:rPr>
            <w:rFonts w:cs="Calibri"/>
            <w:color w:val="0000FF"/>
          </w:rPr>
          <w:t>пункту 2</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26. Юрисдикцию в отношении национальности следует устанавливать в соответствии с общими принципами и условиями правовой системы каждой Стороны. Эти принципы касаются таких вопросов, как "двойная преступность". Вместе с тем требование "двойной преступности" следует считать выполненным, если деяние незаконно в том месте, где оно произошло, даже если здесь действует иной уголовный закон. Для стран, применяющих юрисдикцию в отношении национальности лишь к отдельным типам преступлений, ссылка на "принципы" подразумевает те критерии, согласно которым делается подобный выбор.</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44" w:name="Par312"/>
      <w:bookmarkEnd w:id="44"/>
      <w:r>
        <w:rPr>
          <w:rFonts w:cs="Calibri"/>
        </w:rPr>
        <w:t>Статья 5</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Правоприменение</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27. </w:t>
      </w:r>
      <w:hyperlink w:anchor="Par61" w:history="1">
        <w:r>
          <w:rPr>
            <w:rFonts w:cs="Calibri"/>
            <w:color w:val="0000FF"/>
          </w:rPr>
          <w:t>Статья 5</w:t>
        </w:r>
      </w:hyperlink>
      <w:r>
        <w:rPr>
          <w:rFonts w:cs="Calibri"/>
        </w:rPr>
        <w:t xml:space="preserve"> признает фундаментальную природу национальных режимов усмотрения обвинительной власти. Она также признает, что для защиты независимости судебного преследования подобное усмотрение должно осуществляться на основе профессиональных мотивов и не должно быть предметом ненадлежащих влияний политического характера. Статья 5 дополняется </w:t>
      </w:r>
      <w:hyperlink w:anchor="Par499" w:history="1">
        <w:r>
          <w:rPr>
            <w:rFonts w:cs="Calibri"/>
            <w:color w:val="0000FF"/>
          </w:rPr>
          <w:t>п. 6</w:t>
        </w:r>
      </w:hyperlink>
      <w:r>
        <w:rPr>
          <w:rFonts w:cs="Calibri"/>
        </w:rPr>
        <w:t xml:space="preserve"> Приложения к пересмотренным Рекомендациям ОЭСР в сфере борьбы с подкупом в международных деловых операциях, C(97)123/FINAL (далее по тексту "Рекомендации ОЭСР 1997 года"), который, inter alia, рекомендует всестороннее расследование компетентными органами жалоб на подкуп должностных лиц иностранных государств, а также предоставление национальными правительствами адекватных ресурсов для эффективного судебного преследования такого подкупа. Стороны примут эти </w:t>
      </w:r>
      <w:hyperlink w:anchor="Par373" w:history="1">
        <w:r>
          <w:rPr>
            <w:rFonts w:cs="Calibri"/>
            <w:color w:val="0000FF"/>
          </w:rPr>
          <w:t>Рекомендации</w:t>
        </w:r>
      </w:hyperlink>
      <w:r>
        <w:rPr>
          <w:rFonts w:cs="Calibri"/>
        </w:rPr>
        <w:t>, включая текущий контроль за их осуществлением и проведение последующих необходимых мероприятий.</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45" w:name="Par318"/>
      <w:bookmarkEnd w:id="45"/>
      <w:r>
        <w:rPr>
          <w:rFonts w:cs="Calibri"/>
        </w:rPr>
        <w:t>Статья 7</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Отмывание "грязных" денег</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28. В </w:t>
      </w:r>
      <w:hyperlink w:anchor="Par73" w:history="1">
        <w:r>
          <w:rPr>
            <w:rFonts w:cs="Calibri"/>
            <w:color w:val="0000FF"/>
          </w:rPr>
          <w:t>статье 7</w:t>
        </w:r>
      </w:hyperlink>
      <w:r>
        <w:rPr>
          <w:rFonts w:cs="Calibri"/>
        </w:rPr>
        <w:t xml:space="preserve"> намеренно предлагается широкое определение "подкупа должностного лица иностранного государства" для того, чтобы подкуп должностного лица иностранного государства можно было бы на аналогичных условиях квалифицировать как одно из преступлений в законодательстве о борьбе с отмыванием "грязных" денег, когда Сторона объявляет подобным преступлением как активное, так и пассивное взяточничество среди своих должностных лиц. Когда Сторона объявляет преступлением лишь пассивное получение взятки своим должностным лицом в целях борьбы с отмыванием "грязных" денег, то эта статья требует, чтобы "отмывание" взятки подлежало рассмотрению в рамках законодательства об отмывании незаконных доходов.</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46" w:name="Par324"/>
      <w:bookmarkEnd w:id="46"/>
      <w:r>
        <w:rPr>
          <w:rFonts w:cs="Calibri"/>
        </w:rPr>
        <w:t>Статья 8</w:t>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Учет</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29. </w:t>
      </w:r>
      <w:hyperlink w:anchor="Par79" w:history="1">
        <w:r>
          <w:rPr>
            <w:rFonts w:cs="Calibri"/>
            <w:color w:val="0000FF"/>
          </w:rPr>
          <w:t>Статья 8</w:t>
        </w:r>
      </w:hyperlink>
      <w:r>
        <w:rPr>
          <w:rFonts w:cs="Calibri"/>
        </w:rPr>
        <w:t xml:space="preserve"> связана с </w:t>
      </w:r>
      <w:hyperlink w:anchor="Par417" w:history="1">
        <w:r>
          <w:rPr>
            <w:rFonts w:cs="Calibri"/>
            <w:color w:val="0000FF"/>
          </w:rPr>
          <w:t>разделом V</w:t>
        </w:r>
      </w:hyperlink>
      <w:r>
        <w:rPr>
          <w:rFonts w:cs="Calibri"/>
        </w:rPr>
        <w:t xml:space="preserve"> Рекомендаций ОЭСР 1997 года, которые были приняты всеми Сторонами и которые подлежат дальнейшей доработке Рабочей группой по борьбе со взяточничеством в международных деловых операциях. Это пункт содержит систему рекомендаций в отношении требований к учету, проведению независимого внешнего аудита, установлению внутренних механизмов контроля деятельности компаний, реализация которых будет иметь важное значение для обеспечения общей эффективности борьбы со взяточничеством </w:t>
      </w:r>
      <w:r>
        <w:rPr>
          <w:rFonts w:cs="Calibri"/>
        </w:rPr>
        <w:lastRenderedPageBreak/>
        <w:t xml:space="preserve">в международных деловых операциях. Вместе с тем одним из непосредственных следствий реализации этой </w:t>
      </w:r>
      <w:hyperlink w:anchor="Par6" w:history="1">
        <w:r>
          <w:rPr>
            <w:rFonts w:cs="Calibri"/>
            <w:color w:val="0000FF"/>
          </w:rPr>
          <w:t>Конвенции</w:t>
        </w:r>
      </w:hyperlink>
      <w:r>
        <w:rPr>
          <w:rFonts w:cs="Calibri"/>
        </w:rPr>
        <w:t xml:space="preserve"> Сторонами будет то, что компании, к которым предъявляется требование представления финансовой отчетности с раскрытием сведений о потенциальных материальных обязательствах, должны будут учесть все потенциальные обязательства в соответствии с данной Конвенцией, в частности </w:t>
      </w:r>
      <w:hyperlink w:anchor="Par43" w:history="1">
        <w:r>
          <w:rPr>
            <w:rFonts w:cs="Calibri"/>
            <w:color w:val="0000FF"/>
          </w:rPr>
          <w:t>ст. ст. 3</w:t>
        </w:r>
      </w:hyperlink>
      <w:r>
        <w:rPr>
          <w:rFonts w:cs="Calibri"/>
        </w:rPr>
        <w:t xml:space="preserve"> и </w:t>
      </w:r>
      <w:hyperlink w:anchor="Par79" w:history="1">
        <w:r>
          <w:rPr>
            <w:rFonts w:cs="Calibri"/>
            <w:color w:val="0000FF"/>
          </w:rPr>
          <w:t>8</w:t>
        </w:r>
      </w:hyperlink>
      <w:r>
        <w:rPr>
          <w:rFonts w:cs="Calibri"/>
        </w:rPr>
        <w:t xml:space="preserve">, равно как и прочие потери и убытки, которые могут быть следствием осуждения компании или ее агентов за дачу взятки. Это порождает и другие следствия для исполнения профессиональных обязанностей аудиторами в отношении признаков подкупа должностных лиц иностранных государств. Кроме того, нарушения в сфере учета, которые рассматриваются в ст. 8, как правило, имеют место в стране происхождения конкретной компании, тогда как преступление взяточничества может быть совершено в другой стране; это может способствовать заполнению "пробелов" в сфере эффективного применения </w:t>
      </w:r>
      <w:hyperlink w:anchor="Par6" w:history="1">
        <w:r>
          <w:rPr>
            <w:rFonts w:cs="Calibri"/>
            <w:color w:val="0000FF"/>
          </w:rPr>
          <w:t>Конвенции</w:t>
        </w:r>
      </w:hyperlink>
      <w:r>
        <w:rPr>
          <w:rFonts w:cs="Calibri"/>
        </w:rPr>
        <w:t>.</w:t>
      </w:r>
    </w:p>
    <w:p w:rsidR="005519F6" w:rsidRDefault="005519F6">
      <w:pPr>
        <w:widowControl w:val="0"/>
        <w:autoSpaceDE w:val="0"/>
        <w:autoSpaceDN w:val="0"/>
        <w:adjustRightInd w:val="0"/>
        <w:spacing w:after="0" w:line="240" w:lineRule="auto"/>
        <w:rPr>
          <w:rFonts w:cs="Calibri"/>
        </w:rPr>
      </w:pPr>
    </w:p>
    <w:bookmarkStart w:id="47" w:name="Par330"/>
    <w:bookmarkEnd w:id="47"/>
    <w:p w:rsidR="005519F6" w:rsidRDefault="005519F6">
      <w:pPr>
        <w:widowControl w:val="0"/>
        <w:autoSpaceDE w:val="0"/>
        <w:autoSpaceDN w:val="0"/>
        <w:adjustRightInd w:val="0"/>
        <w:spacing w:after="0" w:line="240" w:lineRule="auto"/>
        <w:jc w:val="center"/>
        <w:outlineLvl w:val="1"/>
        <w:rPr>
          <w:rFonts w:cs="Calibri"/>
        </w:rPr>
      </w:pPr>
      <w:r>
        <w:rPr>
          <w:rFonts w:cs="Calibri"/>
        </w:rPr>
        <w:fldChar w:fldCharType="begin"/>
      </w:r>
      <w:r>
        <w:rPr>
          <w:rFonts w:cs="Calibri"/>
        </w:rPr>
        <w:instrText xml:space="preserve">HYPERLINK \l Par86  </w:instrText>
      </w:r>
      <w:r>
        <w:rPr>
          <w:rFonts w:cs="Calibri"/>
        </w:rPr>
        <w:fldChar w:fldCharType="separate"/>
      </w:r>
      <w:r>
        <w:rPr>
          <w:rFonts w:cs="Calibri"/>
          <w:color w:val="0000FF"/>
        </w:rPr>
        <w:t>Статья 9</w:t>
      </w:r>
      <w:r>
        <w:rPr>
          <w:rFonts w:cs="Calibri"/>
        </w:rPr>
        <w:fldChar w:fldCharType="end"/>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Взаимная правовая помощь</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30. В соответствии с содержанием </w:t>
      </w:r>
      <w:hyperlink w:anchor="Par511" w:history="1">
        <w:r>
          <w:rPr>
            <w:rFonts w:cs="Calibri"/>
            <w:color w:val="0000FF"/>
          </w:rPr>
          <w:t>п. 8</w:t>
        </w:r>
      </w:hyperlink>
      <w:r>
        <w:rPr>
          <w:rFonts w:cs="Calibri"/>
        </w:rPr>
        <w:t xml:space="preserve"> Согласованных общих элементов, включенных в Рекомендации ОЭСР 1997 года в качестве Приложения, Стороны должны будут также прийти к согласию в отношении необходимости поиска и применения средств улучшения эффективности взаимной правовой помощи.</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К </w:t>
      </w:r>
      <w:hyperlink w:anchor="Par90" w:history="1">
        <w:r>
          <w:rPr>
            <w:rFonts w:cs="Calibri"/>
            <w:color w:val="0000FF"/>
          </w:rPr>
          <w:t>пункту 1</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31. В контексте </w:t>
      </w:r>
      <w:hyperlink w:anchor="Par90" w:history="1">
        <w:r>
          <w:rPr>
            <w:rFonts w:cs="Calibri"/>
            <w:color w:val="0000FF"/>
          </w:rPr>
          <w:t>п. 1, ст. 9</w:t>
        </w:r>
      </w:hyperlink>
      <w:r>
        <w:rPr>
          <w:rFonts w:cs="Calibri"/>
        </w:rPr>
        <w:t>, Стороны должны по просьбе другой Стороны оказывать содействие или поощрение в обеспечении присутствия или наличия лиц, включая лиц, находящихся под стражей, которые дали согласие сотрудничать в проведении расследования или судопроизводства. Стороны должны принять меры, чтобы в случае необходимости иметь возможность временной передачи лиц, находящихся под стражей, в распоряжение запрашивающей Стороны, и чтобы зачесть время нахождения под стражей в запрашивающей стране в срок лишения свободы в стране, к которой поступила просьба о временной выдаче данного лица. Сторона, желающая использовать данный механизм, должна также принять меры к тому, чтобы в случае, когда она выступает в качестве запрашивающей Стороны, она имела возможность содержать передаваемое лицо под стражей и могла вернуть это лицо, не проводя никаких процедур экстрадиции.</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К </w:t>
      </w:r>
      <w:hyperlink w:anchor="Par91" w:history="1">
        <w:r>
          <w:rPr>
            <w:rFonts w:cs="Calibri"/>
            <w:color w:val="0000FF"/>
          </w:rPr>
          <w:t>пункту 2</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32. Пункт 2 касается вопроса о тождестве правовых норм в контексте двойной преступности. Стороны, имеющие широкий разброс законов - от закона, содержащего общий запрет на подкуп субъектов деловых отношений, до закона, конкретно направленного против подкупа должностных лиц иностранных государств - должны иметь возможность всестороннего сотрудничества по делам, обстоятельства которых соответствуют определению преступлений, приведенных в данной </w:t>
      </w:r>
      <w:hyperlink w:anchor="Par6" w:history="1">
        <w:r>
          <w:rPr>
            <w:rFonts w:cs="Calibri"/>
            <w:color w:val="0000FF"/>
          </w:rPr>
          <w:t>Конвенции</w:t>
        </w:r>
      </w:hyperlink>
      <w:r>
        <w:rPr>
          <w:rFonts w:cs="Calibri"/>
        </w:rPr>
        <w:t>.</w:t>
      </w:r>
    </w:p>
    <w:p w:rsidR="005519F6" w:rsidRDefault="005519F6">
      <w:pPr>
        <w:widowControl w:val="0"/>
        <w:autoSpaceDE w:val="0"/>
        <w:autoSpaceDN w:val="0"/>
        <w:adjustRightInd w:val="0"/>
        <w:spacing w:after="0" w:line="240" w:lineRule="auto"/>
        <w:rPr>
          <w:rFonts w:cs="Calibri"/>
        </w:rPr>
      </w:pPr>
    </w:p>
    <w:bookmarkStart w:id="48" w:name="Par342"/>
    <w:bookmarkEnd w:id="48"/>
    <w:p w:rsidR="005519F6" w:rsidRDefault="005519F6">
      <w:pPr>
        <w:widowControl w:val="0"/>
        <w:autoSpaceDE w:val="0"/>
        <w:autoSpaceDN w:val="0"/>
        <w:adjustRightInd w:val="0"/>
        <w:spacing w:after="0" w:line="240" w:lineRule="auto"/>
        <w:jc w:val="center"/>
        <w:outlineLvl w:val="1"/>
        <w:rPr>
          <w:rFonts w:cs="Calibri"/>
        </w:rPr>
      </w:pPr>
      <w:r>
        <w:rPr>
          <w:rFonts w:cs="Calibri"/>
        </w:rPr>
        <w:fldChar w:fldCharType="begin"/>
      </w:r>
      <w:r>
        <w:rPr>
          <w:rFonts w:cs="Calibri"/>
        </w:rPr>
        <w:instrText xml:space="preserve">HYPERLINK \l Par94  </w:instrText>
      </w:r>
      <w:r>
        <w:rPr>
          <w:rFonts w:cs="Calibri"/>
        </w:rPr>
        <w:fldChar w:fldCharType="separate"/>
      </w:r>
      <w:r>
        <w:rPr>
          <w:rFonts w:cs="Calibri"/>
          <w:color w:val="0000FF"/>
        </w:rPr>
        <w:t>Статья 10</w:t>
      </w:r>
      <w:r>
        <w:rPr>
          <w:rFonts w:cs="Calibri"/>
        </w:rPr>
        <w:fldChar w:fldCharType="end"/>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Выдача преступника</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К </w:t>
      </w:r>
      <w:hyperlink w:anchor="Par99" w:history="1">
        <w:r>
          <w:rPr>
            <w:rFonts w:cs="Calibri"/>
            <w:color w:val="0000FF"/>
          </w:rPr>
          <w:t>пункту 2</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33. Сторона может рассматривать данную </w:t>
      </w:r>
      <w:hyperlink w:anchor="Par6" w:history="1">
        <w:r>
          <w:rPr>
            <w:rFonts w:cs="Calibri"/>
            <w:color w:val="0000FF"/>
          </w:rPr>
          <w:t>Конвенцию</w:t>
        </w:r>
      </w:hyperlink>
      <w:r>
        <w:rPr>
          <w:rFonts w:cs="Calibri"/>
        </w:rPr>
        <w:t xml:space="preserve"> в качестве правовой основы для экстрадиции, если по одной или нескольким категориям дел, соответствующих данной Конвенции, она требует наличия договора об экстрадиции. Например, конкретная страна может рассматривать это в качестве базы для экстрадиции своих граждан, если она требует договора об экстрадиции по этой категории преступлений, но не требует экстрадиции неграждан.</w:t>
      </w:r>
    </w:p>
    <w:p w:rsidR="005519F6" w:rsidRDefault="005519F6">
      <w:pPr>
        <w:widowControl w:val="0"/>
        <w:autoSpaceDE w:val="0"/>
        <w:autoSpaceDN w:val="0"/>
        <w:adjustRightInd w:val="0"/>
        <w:spacing w:after="0" w:line="240" w:lineRule="auto"/>
        <w:rPr>
          <w:rFonts w:cs="Calibri"/>
        </w:rPr>
      </w:pPr>
    </w:p>
    <w:bookmarkStart w:id="49" w:name="Par349"/>
    <w:bookmarkEnd w:id="49"/>
    <w:p w:rsidR="005519F6" w:rsidRDefault="005519F6">
      <w:pPr>
        <w:widowControl w:val="0"/>
        <w:autoSpaceDE w:val="0"/>
        <w:autoSpaceDN w:val="0"/>
        <w:adjustRightInd w:val="0"/>
        <w:spacing w:after="0" w:line="240" w:lineRule="auto"/>
        <w:jc w:val="center"/>
        <w:outlineLvl w:val="1"/>
        <w:rPr>
          <w:rFonts w:cs="Calibri"/>
        </w:rPr>
      </w:pPr>
      <w:r>
        <w:rPr>
          <w:rFonts w:cs="Calibri"/>
        </w:rPr>
        <w:lastRenderedPageBreak/>
        <w:fldChar w:fldCharType="begin"/>
      </w:r>
      <w:r>
        <w:rPr>
          <w:rFonts w:cs="Calibri"/>
        </w:rPr>
        <w:instrText xml:space="preserve">HYPERLINK \l Par109  </w:instrText>
      </w:r>
      <w:r>
        <w:rPr>
          <w:rFonts w:cs="Calibri"/>
        </w:rPr>
        <w:fldChar w:fldCharType="separate"/>
      </w:r>
      <w:r>
        <w:rPr>
          <w:rFonts w:cs="Calibri"/>
          <w:color w:val="0000FF"/>
        </w:rPr>
        <w:t>Статья 12</w:t>
      </w:r>
      <w:r>
        <w:rPr>
          <w:rFonts w:cs="Calibri"/>
        </w:rPr>
        <w:fldChar w:fldCharType="end"/>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Текущий контроль и последующие мероприятия</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34. Текущие полномочия Рабочей группы ОЭСР по борьбе с коррупцией, имеющие уместное отношение к задачам текущего контроля и последующего сопровождения реализации </w:t>
      </w:r>
      <w:hyperlink w:anchor="Par6" w:history="1">
        <w:r>
          <w:rPr>
            <w:rFonts w:cs="Calibri"/>
            <w:color w:val="0000FF"/>
          </w:rPr>
          <w:t>Конвенции</w:t>
        </w:r>
      </w:hyperlink>
      <w:r>
        <w:rPr>
          <w:rFonts w:cs="Calibri"/>
        </w:rPr>
        <w:t xml:space="preserve">, изложены в </w:t>
      </w:r>
      <w:hyperlink w:anchor="Par452" w:history="1">
        <w:r>
          <w:rPr>
            <w:rFonts w:cs="Calibri"/>
            <w:color w:val="0000FF"/>
          </w:rPr>
          <w:t>разделе VIII</w:t>
        </w:r>
      </w:hyperlink>
      <w:r>
        <w:rPr>
          <w:rFonts w:cs="Calibri"/>
        </w:rPr>
        <w:t xml:space="preserve"> Рекомендаций ОЭСР 1997 года. Они предусматривают:</w:t>
      </w:r>
    </w:p>
    <w:p w:rsidR="005519F6" w:rsidRDefault="005519F6">
      <w:pPr>
        <w:widowControl w:val="0"/>
        <w:autoSpaceDE w:val="0"/>
        <w:autoSpaceDN w:val="0"/>
        <w:adjustRightInd w:val="0"/>
        <w:spacing w:after="0" w:line="240" w:lineRule="auto"/>
        <w:ind w:firstLine="540"/>
        <w:jc w:val="both"/>
        <w:rPr>
          <w:rFonts w:cs="Calibri"/>
        </w:rPr>
      </w:pPr>
      <w:r>
        <w:rPr>
          <w:rFonts w:cs="Calibri"/>
        </w:rPr>
        <w:t>i) прием извещений и другой информации от [участвующих] стран;</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ii) проведение регулярных обследований шагов, предпринимаемых [участвующими] странами в интересах реализации </w:t>
      </w:r>
      <w:hyperlink w:anchor="Par373" w:history="1">
        <w:r>
          <w:rPr>
            <w:rFonts w:cs="Calibri"/>
            <w:color w:val="0000FF"/>
          </w:rPr>
          <w:t>Рекомендаций</w:t>
        </w:r>
      </w:hyperlink>
      <w:r>
        <w:rPr>
          <w:rFonts w:cs="Calibri"/>
        </w:rPr>
        <w:t>, а также выработки необходимых предложений об оказании помощи [участвующим] странам в реализации Рекомендаций; указанные обследования будут основываться на следующих дополнительных системах:</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 системе самооценки, в соответствии с которой ответы [участвующих] стран на вопросы анкеты станут базой для оценки хода реализации </w:t>
      </w:r>
      <w:hyperlink w:anchor="Par373" w:history="1">
        <w:r>
          <w:rPr>
            <w:rFonts w:cs="Calibri"/>
            <w:color w:val="0000FF"/>
          </w:rPr>
          <w:t>Рекомендаций</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 системе взаимной оценки, при которой каждая [участвующая] страна будет в свою очередь обследована Рабочей группой по борьбе со взяточничеством и на базе отчета, содержащего объективную оценку программы реализации Рекомендаций [участвующей] страной;</w:t>
      </w:r>
    </w:p>
    <w:p w:rsidR="005519F6" w:rsidRDefault="005519F6">
      <w:pPr>
        <w:widowControl w:val="0"/>
        <w:autoSpaceDE w:val="0"/>
        <w:autoSpaceDN w:val="0"/>
        <w:adjustRightInd w:val="0"/>
        <w:spacing w:after="0" w:line="240" w:lineRule="auto"/>
        <w:ind w:firstLine="540"/>
        <w:jc w:val="both"/>
        <w:rPr>
          <w:rFonts w:cs="Calibri"/>
        </w:rPr>
      </w:pPr>
      <w:r>
        <w:rPr>
          <w:rFonts w:cs="Calibri"/>
        </w:rPr>
        <w:t>iii) исследование конкретных аспектов взяточничества в международных деловых операциях;</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v) регулярное информирование широкой общественности о ее работе и мероприятиях по выполнению </w:t>
      </w:r>
      <w:hyperlink w:anchor="Par373" w:history="1">
        <w:r>
          <w:rPr>
            <w:rFonts w:cs="Calibri"/>
            <w:color w:val="0000FF"/>
          </w:rPr>
          <w:t>Рекомендаций</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35. Издержки текущего контроля и проведения последующих мероприятий, понесенные странами - членами ОЭСР, будут покрываться в ходе нормального бюджетного процесса ОЭСР. Что касается стран, не входящих в ОЭСР, то существующие нормы и правила позволяют создать систему эквивалентного участия в покрытии затрат; характеристика такой системы дана в Резолюции Совета в отношении взносов для стран, являющихся регулярными наблюдателями, и стран, не входящих в ОЭСР, но обладающих статусом полных участников вспомогательных органов ОЭСР, C(96)223/FINAL.</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36. Последующие мероприятия по любому аспекту </w:t>
      </w:r>
      <w:hyperlink w:anchor="Par6" w:history="1">
        <w:r>
          <w:rPr>
            <w:rFonts w:cs="Calibri"/>
            <w:color w:val="0000FF"/>
          </w:rPr>
          <w:t>Конвенции</w:t>
        </w:r>
      </w:hyperlink>
      <w:r>
        <w:rPr>
          <w:rFonts w:cs="Calibri"/>
        </w:rPr>
        <w:t xml:space="preserve">, которые не связаны с мероприятиями по реализации </w:t>
      </w:r>
      <w:hyperlink w:anchor="Par373" w:history="1">
        <w:r>
          <w:rPr>
            <w:rFonts w:cs="Calibri"/>
            <w:color w:val="0000FF"/>
          </w:rPr>
          <w:t>Рекомендаций</w:t>
        </w:r>
      </w:hyperlink>
      <w:r>
        <w:rPr>
          <w:rFonts w:cs="Calibri"/>
        </w:rPr>
        <w:t xml:space="preserve"> ОЭСР 1997 года или любого другого документа, принятого всеми участниками Рабочей группы ОЭСР по борьбе со взяточничеством в международных деловых операциях, будут выполняться Сторонами, подписавшими Конвенцию, а в других целесообразных случаях - участниками, подписавшими другие соответствующие документы.</w:t>
      </w:r>
    </w:p>
    <w:p w:rsidR="005519F6" w:rsidRDefault="005519F6">
      <w:pPr>
        <w:widowControl w:val="0"/>
        <w:autoSpaceDE w:val="0"/>
        <w:autoSpaceDN w:val="0"/>
        <w:adjustRightInd w:val="0"/>
        <w:spacing w:after="0" w:line="240" w:lineRule="auto"/>
        <w:rPr>
          <w:rFonts w:cs="Calibri"/>
        </w:rPr>
      </w:pPr>
    </w:p>
    <w:bookmarkStart w:id="50" w:name="Par363"/>
    <w:bookmarkEnd w:id="50"/>
    <w:p w:rsidR="005519F6" w:rsidRDefault="005519F6">
      <w:pPr>
        <w:widowControl w:val="0"/>
        <w:autoSpaceDE w:val="0"/>
        <w:autoSpaceDN w:val="0"/>
        <w:adjustRightInd w:val="0"/>
        <w:spacing w:after="0" w:line="240" w:lineRule="auto"/>
        <w:jc w:val="center"/>
        <w:outlineLvl w:val="1"/>
        <w:rPr>
          <w:rFonts w:cs="Calibri"/>
        </w:rPr>
      </w:pPr>
      <w:r>
        <w:rPr>
          <w:rFonts w:cs="Calibri"/>
        </w:rPr>
        <w:fldChar w:fldCharType="begin"/>
      </w:r>
      <w:r>
        <w:rPr>
          <w:rFonts w:cs="Calibri"/>
        </w:rPr>
        <w:instrText xml:space="preserve">HYPERLINK \l Par115  </w:instrText>
      </w:r>
      <w:r>
        <w:rPr>
          <w:rFonts w:cs="Calibri"/>
        </w:rPr>
        <w:fldChar w:fldCharType="separate"/>
      </w:r>
      <w:r>
        <w:rPr>
          <w:rFonts w:cs="Calibri"/>
          <w:color w:val="0000FF"/>
        </w:rPr>
        <w:t>Статья 13</w:t>
      </w:r>
      <w:r>
        <w:rPr>
          <w:rFonts w:cs="Calibri"/>
        </w:rPr>
        <w:fldChar w:fldCharType="end"/>
      </w:r>
    </w:p>
    <w:p w:rsidR="005519F6" w:rsidRDefault="005519F6">
      <w:pPr>
        <w:widowControl w:val="0"/>
        <w:autoSpaceDE w:val="0"/>
        <w:autoSpaceDN w:val="0"/>
        <w:adjustRightInd w:val="0"/>
        <w:spacing w:after="0" w:line="240" w:lineRule="auto"/>
        <w:jc w:val="center"/>
        <w:rPr>
          <w:rFonts w:cs="Calibri"/>
        </w:rPr>
      </w:pPr>
    </w:p>
    <w:p w:rsidR="005519F6" w:rsidRDefault="005519F6">
      <w:pPr>
        <w:widowControl w:val="0"/>
        <w:autoSpaceDE w:val="0"/>
        <w:autoSpaceDN w:val="0"/>
        <w:adjustRightInd w:val="0"/>
        <w:spacing w:after="0" w:line="240" w:lineRule="auto"/>
        <w:jc w:val="center"/>
        <w:rPr>
          <w:rFonts w:cs="Calibri"/>
        </w:rPr>
      </w:pPr>
      <w:r>
        <w:rPr>
          <w:rFonts w:cs="Calibri"/>
        </w:rPr>
        <w:t>Подписание и присоединение</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37. </w:t>
      </w:r>
      <w:hyperlink w:anchor="Par6" w:history="1">
        <w:r>
          <w:rPr>
            <w:rFonts w:cs="Calibri"/>
            <w:color w:val="0000FF"/>
          </w:rPr>
          <w:t>Конвенция</w:t>
        </w:r>
      </w:hyperlink>
      <w:r>
        <w:rPr>
          <w:rFonts w:cs="Calibri"/>
        </w:rPr>
        <w:t xml:space="preserve"> будет открыта для нечленов, которые становятся полноправными участниками Рабочей группы ОЭСР по борьбе со взяточничеством в международных деловых операциях. Поощряется полное участие нечленов, которое обеспечивается простыми процедурами. Соответствующим образом, требование полного участия в Рабочей группе, которое вытекает из отношения Конвенции к другим аспектам борьбы со взяточничеством в международных деловых операциях, не следует рассматривать как препятствие для тех стран, которые желают участвовать в этой борьбе. Совет ОЭСР призвал нечленов выполнять </w:t>
      </w:r>
      <w:hyperlink w:anchor="Par373" w:history="1">
        <w:r>
          <w:rPr>
            <w:rFonts w:cs="Calibri"/>
            <w:color w:val="0000FF"/>
          </w:rPr>
          <w:t>Рекомендации</w:t>
        </w:r>
      </w:hyperlink>
      <w:r>
        <w:rPr>
          <w:rFonts w:cs="Calibri"/>
        </w:rPr>
        <w:t xml:space="preserve"> ОЭСР 1997 года и принимать участие в любых институциональных механизмах последующего сопровождения реализации Рекомендаций, то есть в деятельности Рабочей группы. Текущие процедуры полноправного участия нечленов в деятельности Рабочей группы содержатся в Резолюции Совета в отношении участия стран, не входящих в ОЭСР, в работе Вспомогательных Органов Организации, C(96)64.REV1/FINAL. Наряду с принятием пересмотренных </w:t>
      </w:r>
      <w:hyperlink w:anchor="Par373" w:history="1">
        <w:r>
          <w:rPr>
            <w:rFonts w:cs="Calibri"/>
            <w:color w:val="0000FF"/>
          </w:rPr>
          <w:t>Рекомендаций</w:t>
        </w:r>
      </w:hyperlink>
      <w:r>
        <w:rPr>
          <w:rFonts w:cs="Calibri"/>
        </w:rPr>
        <w:t xml:space="preserve"> Совета по борьбе со взяточничеством, полноправный участник также принимает </w:t>
      </w:r>
      <w:hyperlink w:anchor="Par521" w:history="1">
        <w:r>
          <w:rPr>
            <w:rFonts w:cs="Calibri"/>
            <w:color w:val="0000FF"/>
          </w:rPr>
          <w:t>Рекомендации</w:t>
        </w:r>
      </w:hyperlink>
      <w:r>
        <w:rPr>
          <w:rFonts w:cs="Calibri"/>
        </w:rPr>
        <w:t xml:space="preserve"> в отношении вычитаемости взяток должностным лицам иностранных государств из суммы налогооблагаемого дохода, принятые 11 апреля 1996 года, </w:t>
      </w:r>
      <w:r>
        <w:rPr>
          <w:rFonts w:cs="Calibri"/>
        </w:rPr>
        <w:lastRenderedPageBreak/>
        <w:t>C(96)27/FINAL.</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0"/>
        <w:rPr>
          <w:rFonts w:cs="Calibri"/>
          <w:b/>
          <w:bCs/>
        </w:rPr>
      </w:pPr>
      <w:bookmarkStart w:id="51" w:name="Par373"/>
      <w:bookmarkEnd w:id="51"/>
      <w:r>
        <w:rPr>
          <w:rFonts w:cs="Calibri"/>
          <w:b/>
          <w:bCs/>
        </w:rPr>
        <w:t>ПЕРЕСМОТРЕННЫЕ РЕКОМЕНДАЦИИ</w:t>
      </w:r>
    </w:p>
    <w:p w:rsidR="005519F6" w:rsidRDefault="005519F6">
      <w:pPr>
        <w:widowControl w:val="0"/>
        <w:autoSpaceDE w:val="0"/>
        <w:autoSpaceDN w:val="0"/>
        <w:adjustRightInd w:val="0"/>
        <w:spacing w:after="0" w:line="240" w:lineRule="auto"/>
        <w:jc w:val="center"/>
        <w:rPr>
          <w:rFonts w:cs="Calibri"/>
          <w:b/>
          <w:bCs/>
        </w:rPr>
      </w:pPr>
      <w:r>
        <w:rPr>
          <w:rFonts w:cs="Calibri"/>
          <w:b/>
          <w:bCs/>
        </w:rPr>
        <w:t>СОВЕТА ПО МЕРАМ БОРЬБЫ СО ВЗЯТОЧНИЧЕСТВОМ</w:t>
      </w:r>
    </w:p>
    <w:p w:rsidR="005519F6" w:rsidRDefault="005519F6">
      <w:pPr>
        <w:widowControl w:val="0"/>
        <w:autoSpaceDE w:val="0"/>
        <w:autoSpaceDN w:val="0"/>
        <w:adjustRightInd w:val="0"/>
        <w:spacing w:after="0" w:line="240" w:lineRule="auto"/>
        <w:jc w:val="center"/>
        <w:rPr>
          <w:rFonts w:cs="Calibri"/>
          <w:b/>
          <w:bCs/>
        </w:rPr>
      </w:pPr>
      <w:r>
        <w:rPr>
          <w:rFonts w:cs="Calibri"/>
          <w:b/>
          <w:bCs/>
        </w:rPr>
        <w:t>В МЕЖДУНАРОДНЫХ ДЕЛОВЫХ ОПЕРАЦИЯХ</w:t>
      </w:r>
    </w:p>
    <w:p w:rsidR="005519F6" w:rsidRDefault="005519F6">
      <w:pPr>
        <w:widowControl w:val="0"/>
        <w:autoSpaceDE w:val="0"/>
        <w:autoSpaceDN w:val="0"/>
        <w:adjustRightInd w:val="0"/>
        <w:spacing w:after="0" w:line="240" w:lineRule="auto"/>
        <w:jc w:val="center"/>
        <w:rPr>
          <w:rFonts w:cs="Calibri"/>
          <w:b/>
          <w:bCs/>
        </w:rPr>
      </w:pPr>
    </w:p>
    <w:p w:rsidR="005519F6" w:rsidRDefault="005519F6">
      <w:pPr>
        <w:widowControl w:val="0"/>
        <w:autoSpaceDE w:val="0"/>
        <w:autoSpaceDN w:val="0"/>
        <w:adjustRightInd w:val="0"/>
        <w:spacing w:after="0" w:line="240" w:lineRule="auto"/>
        <w:jc w:val="center"/>
        <w:rPr>
          <w:rFonts w:cs="Calibri"/>
          <w:b/>
          <w:bCs/>
        </w:rPr>
      </w:pPr>
      <w:r>
        <w:rPr>
          <w:rFonts w:cs="Calibri"/>
          <w:b/>
          <w:bCs/>
        </w:rPr>
        <w:t>(23 мая 1997 года)</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Совет,</w:t>
      </w:r>
    </w:p>
    <w:p w:rsidR="005519F6" w:rsidRDefault="005519F6">
      <w:pPr>
        <w:widowControl w:val="0"/>
        <w:autoSpaceDE w:val="0"/>
        <w:autoSpaceDN w:val="0"/>
        <w:adjustRightInd w:val="0"/>
        <w:spacing w:after="0" w:line="240" w:lineRule="auto"/>
        <w:ind w:firstLine="540"/>
        <w:jc w:val="both"/>
        <w:rPr>
          <w:rFonts w:cs="Calibri"/>
        </w:rPr>
      </w:pPr>
      <w:r>
        <w:rPr>
          <w:rFonts w:cs="Calibri"/>
        </w:rPr>
        <w:t>учитывая положения статей 3, 5 "a" и 5 "b" Конвенции о создании Организации экономического сотрудничества и развития от 14 декабря 1960 года;</w:t>
      </w:r>
    </w:p>
    <w:p w:rsidR="005519F6" w:rsidRDefault="005519F6">
      <w:pPr>
        <w:widowControl w:val="0"/>
        <w:autoSpaceDE w:val="0"/>
        <w:autoSpaceDN w:val="0"/>
        <w:adjustRightInd w:val="0"/>
        <w:spacing w:after="0" w:line="240" w:lineRule="auto"/>
        <w:ind w:firstLine="540"/>
        <w:jc w:val="both"/>
        <w:rPr>
          <w:rFonts w:cs="Calibri"/>
        </w:rPr>
      </w:pPr>
      <w:r>
        <w:rPr>
          <w:rFonts w:cs="Calibri"/>
        </w:rPr>
        <w:t>принимая во внимание то, что взяточничество получило широкое распространение при осуществлении международных деловых операций, в том числе в сфере инвестиций и торговли, в связи с чем возникают серьезные моральные и политические проблемы и происходит искажение условий международной конкуренции;</w:t>
      </w:r>
    </w:p>
    <w:p w:rsidR="005519F6" w:rsidRDefault="005519F6">
      <w:pPr>
        <w:widowControl w:val="0"/>
        <w:autoSpaceDE w:val="0"/>
        <w:autoSpaceDN w:val="0"/>
        <w:adjustRightInd w:val="0"/>
        <w:spacing w:after="0" w:line="240" w:lineRule="auto"/>
        <w:ind w:firstLine="540"/>
        <w:jc w:val="both"/>
        <w:rPr>
          <w:rFonts w:cs="Calibri"/>
        </w:rPr>
      </w:pPr>
      <w:r>
        <w:rPr>
          <w:rFonts w:cs="Calibri"/>
        </w:rPr>
        <w:t>принимая во внимание то, что на всех странах лежит общая ответственность за ведение борьбы с коррупцией в международных деловых операциях;</w:t>
      </w:r>
    </w:p>
    <w:p w:rsidR="005519F6" w:rsidRDefault="005519F6">
      <w:pPr>
        <w:widowControl w:val="0"/>
        <w:autoSpaceDE w:val="0"/>
        <w:autoSpaceDN w:val="0"/>
        <w:adjustRightInd w:val="0"/>
        <w:spacing w:after="0" w:line="240" w:lineRule="auto"/>
        <w:ind w:firstLine="540"/>
        <w:jc w:val="both"/>
        <w:rPr>
          <w:rFonts w:cs="Calibri"/>
        </w:rPr>
      </w:pPr>
      <w:r>
        <w:rPr>
          <w:rFonts w:cs="Calibri"/>
        </w:rPr>
        <w:t>принимая во внимание то, что предприятия должны воздерживаться от подкупа государственных чиновников и лиц, занимающих государственные должности, как подчеркнуто в Рекомендациях ОЭСР в отношении многонациональных предприятий;</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принимая во внимание успехи, достигнутые в осуществлении первоначальных Рекомендаций Совета по борьбе со взяточничеством в международных деловых операциях, принятых 27 мая 1994 года, С(94)75/FINAL, а также соответствующих </w:t>
      </w:r>
      <w:hyperlink w:anchor="Par521" w:history="1">
        <w:r>
          <w:rPr>
            <w:rFonts w:cs="Calibri"/>
            <w:color w:val="0000FF"/>
          </w:rPr>
          <w:t>Рекомендаций</w:t>
        </w:r>
      </w:hyperlink>
      <w:r>
        <w:rPr>
          <w:rFonts w:cs="Calibri"/>
        </w:rPr>
        <w:t xml:space="preserve"> о вычитании из суммы налогооблагаемого дохода взяток должностным лицам иностранных государств, принятых 11 апреля 1996 года, C(96)27/FINAL; а также Рекомендаций в отношении предложений о борьбе с коррупцией в процессе закупок в рамках двусторонней помощи, одобренных Совещанием высокого уровня Комитета содействия развитию, принятых 7 мая 1996 года;</w:t>
      </w:r>
    </w:p>
    <w:p w:rsidR="005519F6" w:rsidRDefault="005519F6">
      <w:pPr>
        <w:widowControl w:val="0"/>
        <w:autoSpaceDE w:val="0"/>
        <w:autoSpaceDN w:val="0"/>
        <w:adjustRightInd w:val="0"/>
        <w:spacing w:after="0" w:line="240" w:lineRule="auto"/>
        <w:ind w:firstLine="540"/>
        <w:jc w:val="both"/>
        <w:rPr>
          <w:rFonts w:cs="Calibri"/>
        </w:rPr>
      </w:pPr>
      <w:r>
        <w:rPr>
          <w:rFonts w:cs="Calibri"/>
        </w:rPr>
        <w:t>положительно оценивая другие недавние события и тенденции, способствующие дальнейшему углублению понимания и сотрудничества в сфере борьбы с подкупом должностных лиц, в том числе мероприятия и действия, предпринятые ООН, Советом Европы, Европейским Союзом и Организацией американских государств;</w:t>
      </w:r>
    </w:p>
    <w:p w:rsidR="005519F6" w:rsidRDefault="005519F6">
      <w:pPr>
        <w:widowControl w:val="0"/>
        <w:autoSpaceDE w:val="0"/>
        <w:autoSpaceDN w:val="0"/>
        <w:adjustRightInd w:val="0"/>
        <w:spacing w:after="0" w:line="240" w:lineRule="auto"/>
        <w:ind w:firstLine="540"/>
        <w:jc w:val="both"/>
        <w:rPr>
          <w:rFonts w:cs="Calibri"/>
        </w:rPr>
      </w:pPr>
      <w:r>
        <w:rPr>
          <w:rFonts w:cs="Calibri"/>
        </w:rPr>
        <w:t>учитывая стремление к криминализации подкупа должностных лиц иностранных государств эффективным и координированным способом, выраженное на совещании Совета с участием представителей министерского уровня в мае 1996 года;</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обращая внимание на то, что международная конвенция, включающая согласованные общие элементы, которые изложены в </w:t>
      </w:r>
      <w:hyperlink w:anchor="Par479" w:history="1">
        <w:r>
          <w:rPr>
            <w:rFonts w:cs="Calibri"/>
            <w:color w:val="0000FF"/>
          </w:rPr>
          <w:t>Приложении</w:t>
        </w:r>
      </w:hyperlink>
      <w:r>
        <w:rPr>
          <w:rFonts w:cs="Calibri"/>
        </w:rPr>
        <w:t>, является адекватным инструментом быстрого достижения указанной криминализации;</w:t>
      </w:r>
    </w:p>
    <w:p w:rsidR="005519F6" w:rsidRDefault="005519F6">
      <w:pPr>
        <w:widowControl w:val="0"/>
        <w:autoSpaceDE w:val="0"/>
        <w:autoSpaceDN w:val="0"/>
        <w:adjustRightInd w:val="0"/>
        <w:spacing w:after="0" w:line="240" w:lineRule="auto"/>
        <w:ind w:firstLine="540"/>
        <w:jc w:val="both"/>
        <w:rPr>
          <w:rFonts w:cs="Calibri"/>
        </w:rPr>
      </w:pPr>
      <w:r>
        <w:rPr>
          <w:rFonts w:cs="Calibri"/>
        </w:rPr>
        <w:t>учитывая консенсус, достигнутый в отношении мер, которые необходимо предпринять для реализации Рекомендаций 1994 года, в частности, способов, характера и режима, а также международных правовых инструментов, необходимых для ускорения криминализации подкупа должностных лиц иностранных государств; вычитаемости взяток должностным лицам иностранных государств из суммы налогооблагаемого дохода; соблюдения требований учета, внешнего аудита и создания внутренних механизмов контроля компаний; а также выполнения норм и правил осуществления государственных закупок;</w:t>
      </w:r>
    </w:p>
    <w:p w:rsidR="005519F6" w:rsidRDefault="005519F6">
      <w:pPr>
        <w:widowControl w:val="0"/>
        <w:autoSpaceDE w:val="0"/>
        <w:autoSpaceDN w:val="0"/>
        <w:adjustRightInd w:val="0"/>
        <w:spacing w:after="0" w:line="240" w:lineRule="auto"/>
        <w:ind w:firstLine="540"/>
        <w:jc w:val="both"/>
        <w:rPr>
          <w:rFonts w:cs="Calibri"/>
        </w:rPr>
      </w:pPr>
      <w:r>
        <w:rPr>
          <w:rFonts w:cs="Calibri"/>
        </w:rPr>
        <w:t>признавая то, что для достижения успеха в этой области необходимы усилия не только отдельных стран, но многостороннее сотрудничество, текущий контроль и проведение последующих мероприятий;</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52" w:name="Par391"/>
      <w:bookmarkEnd w:id="52"/>
      <w:r>
        <w:rPr>
          <w:rFonts w:cs="Calibri"/>
        </w:rPr>
        <w:t>Общие положения</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lastRenderedPageBreak/>
        <w:t>I. Рекомендует, чтобы страны - члены ОЭСР приняли решительные меры для пресечения и предупреждения подкупа должностных лиц иностранных государств в связи с проведением международных деловых операций и ведения решительной борьбы с этим явлением.</w:t>
      </w:r>
    </w:p>
    <w:p w:rsidR="005519F6" w:rsidRDefault="005519F6">
      <w:pPr>
        <w:widowControl w:val="0"/>
        <w:autoSpaceDE w:val="0"/>
        <w:autoSpaceDN w:val="0"/>
        <w:adjustRightInd w:val="0"/>
        <w:spacing w:after="0" w:line="240" w:lineRule="auto"/>
        <w:ind w:firstLine="540"/>
        <w:jc w:val="both"/>
        <w:rPr>
          <w:rFonts w:cs="Calibri"/>
        </w:rPr>
      </w:pPr>
      <w:r>
        <w:rPr>
          <w:rFonts w:cs="Calibri"/>
        </w:rPr>
        <w:t>II. Рекомендует, чтобы каждая страна - член ОЭСР подвергла исследованию каждое из следующих направлений и приняла конкретные и реальные шаги на основе своих юрисдикционных и других правовых принципов для достижения этой цели:</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i) уголовное законодательство и его применение в соответствии с </w:t>
      </w:r>
      <w:hyperlink w:anchor="Par406" w:history="1">
        <w:r>
          <w:rPr>
            <w:rFonts w:cs="Calibri"/>
            <w:color w:val="0000FF"/>
          </w:rPr>
          <w:t>разделом III</w:t>
        </w:r>
      </w:hyperlink>
      <w:r>
        <w:rPr>
          <w:rFonts w:cs="Calibri"/>
        </w:rPr>
        <w:t xml:space="preserve"> и </w:t>
      </w:r>
      <w:hyperlink w:anchor="Par479" w:history="1">
        <w:r>
          <w:rPr>
            <w:rFonts w:cs="Calibri"/>
            <w:color w:val="0000FF"/>
          </w:rPr>
          <w:t>Приложением</w:t>
        </w:r>
      </w:hyperlink>
      <w:r>
        <w:rPr>
          <w:rFonts w:cs="Calibri"/>
        </w:rPr>
        <w:t xml:space="preserve"> к этим Рекомендациям;</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ii) налоговое законодательство, регулирование и практику применения в целях устранения любой косвенной поддержки взяточничества в соответствии с </w:t>
      </w:r>
      <w:hyperlink w:anchor="Par411" w:history="1">
        <w:r>
          <w:rPr>
            <w:rFonts w:cs="Calibri"/>
            <w:color w:val="0000FF"/>
          </w:rPr>
          <w:t>разделом IV</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iii) систему бухгалтерского учета в компаниях и на предприятиях, требования к проведению внешнего аудита и установлению внутренних механизмов контроля в соответствии с </w:t>
      </w:r>
      <w:hyperlink w:anchor="Par417" w:history="1">
        <w:r>
          <w:rPr>
            <w:rFonts w:cs="Calibri"/>
            <w:color w:val="0000FF"/>
          </w:rPr>
          <w:t>разделом V</w:t>
        </w:r>
      </w:hyperlink>
      <w:r>
        <w:rPr>
          <w:rFonts w:cs="Calibri"/>
        </w:rPr>
        <w:t>;</w:t>
      </w:r>
    </w:p>
    <w:p w:rsidR="005519F6" w:rsidRDefault="005519F6">
      <w:pPr>
        <w:widowControl w:val="0"/>
        <w:autoSpaceDE w:val="0"/>
        <w:autoSpaceDN w:val="0"/>
        <w:adjustRightInd w:val="0"/>
        <w:spacing w:after="0" w:line="240" w:lineRule="auto"/>
        <w:ind w:firstLine="540"/>
        <w:jc w:val="both"/>
        <w:rPr>
          <w:rFonts w:cs="Calibri"/>
        </w:rPr>
      </w:pPr>
      <w:r>
        <w:rPr>
          <w:rFonts w:cs="Calibri"/>
        </w:rPr>
        <w:t>iv) положения банковского и финансового законодательства для обеспечения ведения и сохранности необходимых отчетных документов и записей, которые могут быть необходимы при последующих проверках и расследованиях;</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v) государственные субсидии, лицензии, контракты на правительственные закупки и другие преимущества, для того, чтобы преимущества можно было отменить в качестве санкции за взяточничество в соответствующих случаях согласно </w:t>
      </w:r>
      <w:hyperlink w:anchor="Par438" w:history="1">
        <w:r>
          <w:rPr>
            <w:rFonts w:cs="Calibri"/>
            <w:color w:val="0000FF"/>
          </w:rPr>
          <w:t>разделу VI</w:t>
        </w:r>
      </w:hyperlink>
      <w:r>
        <w:rPr>
          <w:rFonts w:cs="Calibri"/>
        </w:rPr>
        <w:t>, рассматривающему контракты на закупку и закупки в интересах оказания помощи;</w:t>
      </w:r>
    </w:p>
    <w:p w:rsidR="005519F6" w:rsidRDefault="005519F6">
      <w:pPr>
        <w:widowControl w:val="0"/>
        <w:autoSpaceDE w:val="0"/>
        <w:autoSpaceDN w:val="0"/>
        <w:adjustRightInd w:val="0"/>
        <w:spacing w:after="0" w:line="240" w:lineRule="auto"/>
        <w:ind w:firstLine="540"/>
        <w:jc w:val="both"/>
        <w:rPr>
          <w:rFonts w:cs="Calibri"/>
        </w:rPr>
      </w:pPr>
      <w:r>
        <w:rPr>
          <w:rFonts w:cs="Calibri"/>
        </w:rPr>
        <w:t>vi) гражданские, коммерческие и административные законы и подзаконные акты, объявляющие такого рода взяточничество незаконным;</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vii) международное сотрудничество при проведении расследования и иных правовых процедур в соответствии с </w:t>
      </w:r>
      <w:hyperlink w:anchor="Par445" w:history="1">
        <w:r>
          <w:rPr>
            <w:rFonts w:cs="Calibri"/>
            <w:color w:val="0000FF"/>
          </w:rPr>
          <w:t>разделом VII</w:t>
        </w:r>
      </w:hyperlink>
      <w:r>
        <w:rPr>
          <w:rFonts w:cs="Calibri"/>
        </w:rPr>
        <w:t>.</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53" w:name="Par403"/>
      <w:bookmarkEnd w:id="53"/>
      <w:r>
        <w:rPr>
          <w:rFonts w:cs="Calibri"/>
        </w:rPr>
        <w:t>Криминализация подкупа должностных лиц</w:t>
      </w:r>
    </w:p>
    <w:p w:rsidR="005519F6" w:rsidRDefault="005519F6">
      <w:pPr>
        <w:widowControl w:val="0"/>
        <w:autoSpaceDE w:val="0"/>
        <w:autoSpaceDN w:val="0"/>
        <w:adjustRightInd w:val="0"/>
        <w:spacing w:after="0" w:line="240" w:lineRule="auto"/>
        <w:jc w:val="center"/>
        <w:rPr>
          <w:rFonts w:cs="Calibri"/>
        </w:rPr>
      </w:pPr>
      <w:r>
        <w:rPr>
          <w:rFonts w:cs="Calibri"/>
        </w:rPr>
        <w:t>иностранных государств</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bookmarkStart w:id="54" w:name="Par406"/>
      <w:bookmarkEnd w:id="54"/>
      <w:r>
        <w:rPr>
          <w:rFonts w:cs="Calibri"/>
        </w:rPr>
        <w:t xml:space="preserve">III. Рекомендует, чтобы страны - члены объявили преступлением по закону подкуп должностных лиц иностранных государств эффективным и согласованным образом, представив соответствующие предложения законодательным органам к 1 апреля 1998 года с учетом согласованных общих элементов, которые изложены в </w:t>
      </w:r>
      <w:hyperlink w:anchor="Par479" w:history="1">
        <w:r>
          <w:rPr>
            <w:rFonts w:cs="Calibri"/>
            <w:color w:val="0000FF"/>
          </w:rPr>
          <w:t>Приложении</w:t>
        </w:r>
      </w:hyperlink>
      <w:r>
        <w:rPr>
          <w:rFonts w:cs="Calibri"/>
        </w:rPr>
        <w:t>, и добившись их введения в действие к концу 1998 года.</w:t>
      </w:r>
    </w:p>
    <w:p w:rsidR="005519F6" w:rsidRDefault="005519F6">
      <w:pPr>
        <w:widowControl w:val="0"/>
        <w:autoSpaceDE w:val="0"/>
        <w:autoSpaceDN w:val="0"/>
        <w:adjustRightInd w:val="0"/>
        <w:spacing w:after="0" w:line="240" w:lineRule="auto"/>
        <w:ind w:firstLine="540"/>
        <w:jc w:val="both"/>
        <w:rPr>
          <w:rFonts w:cs="Calibri"/>
        </w:rPr>
      </w:pPr>
      <w:r>
        <w:rPr>
          <w:rFonts w:cs="Calibri"/>
        </w:rPr>
        <w:t>Принимает решение с этой целью открыть переговоры в ближайшее время о заключении международной конвенции, объявляющей преступным деянием подкуп должностных лиц иностранных государств с учетом согласованных общих элементов; договор должен быть открытым для подписания к концу 1997 года, имея в виду его вступление в силу через двенадцать месяцев после этого.</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55" w:name="Par409"/>
      <w:bookmarkEnd w:id="55"/>
      <w:r>
        <w:rPr>
          <w:rFonts w:cs="Calibri"/>
        </w:rPr>
        <w:t>Вычитаемость из суммы налогооблагаемого дохода</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bookmarkStart w:id="56" w:name="Par411"/>
      <w:bookmarkEnd w:id="56"/>
      <w:r>
        <w:rPr>
          <w:rFonts w:cs="Calibri"/>
        </w:rPr>
        <w:t xml:space="preserve">IV. Призывает к скорейшей реализации странами - членами </w:t>
      </w:r>
      <w:hyperlink w:anchor="Par521" w:history="1">
        <w:r>
          <w:rPr>
            <w:rFonts w:cs="Calibri"/>
            <w:color w:val="0000FF"/>
          </w:rPr>
          <w:t>Рекомендаций</w:t>
        </w:r>
      </w:hyperlink>
      <w:r>
        <w:rPr>
          <w:rFonts w:cs="Calibri"/>
        </w:rPr>
        <w:t xml:space="preserve"> 1996 года, в которых, в частности, говорится: "что те страны - члены, которые не запрещают вычитаемость взяток должностным лицам иностранных государств из суммы налогооблагаемого дохода, должны пересмотреть такой подход с целью запрещения такой вычитаемости. Подобное действие может быть ускорено под влиянием тенденции рассматривать взятки иностранным должностным лицам как противоречащие закону".</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57" w:name="Par413"/>
      <w:bookmarkEnd w:id="57"/>
      <w:r>
        <w:rPr>
          <w:rFonts w:cs="Calibri"/>
        </w:rPr>
        <w:t>Требования к бухгалтерскому учету, проведение</w:t>
      </w:r>
    </w:p>
    <w:p w:rsidR="005519F6" w:rsidRDefault="005519F6">
      <w:pPr>
        <w:widowControl w:val="0"/>
        <w:autoSpaceDE w:val="0"/>
        <w:autoSpaceDN w:val="0"/>
        <w:adjustRightInd w:val="0"/>
        <w:spacing w:after="0" w:line="240" w:lineRule="auto"/>
        <w:jc w:val="center"/>
        <w:rPr>
          <w:rFonts w:cs="Calibri"/>
        </w:rPr>
      </w:pPr>
      <w:r>
        <w:rPr>
          <w:rFonts w:cs="Calibri"/>
        </w:rPr>
        <w:t>внешнего аудита и создание внутренних механизмов</w:t>
      </w:r>
    </w:p>
    <w:p w:rsidR="005519F6" w:rsidRDefault="005519F6">
      <w:pPr>
        <w:widowControl w:val="0"/>
        <w:autoSpaceDE w:val="0"/>
        <w:autoSpaceDN w:val="0"/>
        <w:adjustRightInd w:val="0"/>
        <w:spacing w:after="0" w:line="240" w:lineRule="auto"/>
        <w:jc w:val="center"/>
        <w:rPr>
          <w:rFonts w:cs="Calibri"/>
        </w:rPr>
      </w:pPr>
      <w:r>
        <w:rPr>
          <w:rFonts w:cs="Calibri"/>
        </w:rPr>
        <w:t>контроля деятельности компаний</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bookmarkStart w:id="58" w:name="Par417"/>
      <w:bookmarkEnd w:id="58"/>
      <w:r>
        <w:rPr>
          <w:rFonts w:cs="Calibri"/>
        </w:rPr>
        <w:t xml:space="preserve">V. Рекомендует, чтобы страны - члены ОЭСР приняли все необходимые меры для приведения законов, правил и существующей практики в отношении требований к бухгалтерскому учету, внешнего аудита и создания внутренних механизмов контроля деятельности компаний в </w:t>
      </w:r>
      <w:r>
        <w:rPr>
          <w:rFonts w:cs="Calibri"/>
        </w:rPr>
        <w:lastRenderedPageBreak/>
        <w:t>соответствие со следующими принципами и их полного использования для профилактики и выявления случаев подкупа должностных лиц иностранных государств при осуществлении международных деловых операций.</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А. Адекватные требования к бухгалтерскому учету</w:t>
      </w:r>
    </w:p>
    <w:p w:rsidR="005519F6" w:rsidRDefault="005519F6">
      <w:pPr>
        <w:widowControl w:val="0"/>
        <w:autoSpaceDE w:val="0"/>
        <w:autoSpaceDN w:val="0"/>
        <w:adjustRightInd w:val="0"/>
        <w:spacing w:after="0" w:line="240" w:lineRule="auto"/>
        <w:ind w:firstLine="540"/>
        <w:jc w:val="both"/>
        <w:rPr>
          <w:rFonts w:cs="Calibri"/>
        </w:rPr>
      </w:pPr>
      <w:r>
        <w:rPr>
          <w:rFonts w:cs="Calibri"/>
        </w:rPr>
        <w:t>i) Страны - члены должны добиваться от компаний ведения точного учета полученных и расходованных ими сумм с указанием того, по какому поводу происходит получение и расходование средств. Должен быть введен запрет на совершение компаниями скрытых сделок или ведение ими неучтенных счетов.</w:t>
      </w:r>
    </w:p>
    <w:p w:rsidR="005519F6" w:rsidRDefault="005519F6">
      <w:pPr>
        <w:widowControl w:val="0"/>
        <w:autoSpaceDE w:val="0"/>
        <w:autoSpaceDN w:val="0"/>
        <w:adjustRightInd w:val="0"/>
        <w:spacing w:after="0" w:line="240" w:lineRule="auto"/>
        <w:ind w:firstLine="540"/>
        <w:jc w:val="both"/>
        <w:rPr>
          <w:rFonts w:cs="Calibri"/>
        </w:rPr>
      </w:pPr>
      <w:r>
        <w:rPr>
          <w:rFonts w:cs="Calibri"/>
        </w:rPr>
        <w:t>ii) Страны - члены должны требовать от своих компаний раскрытия материальных потенциальных обязательств в предоставляемых финансовых отчетах.</w:t>
      </w:r>
    </w:p>
    <w:p w:rsidR="005519F6" w:rsidRDefault="005519F6">
      <w:pPr>
        <w:widowControl w:val="0"/>
        <w:autoSpaceDE w:val="0"/>
        <w:autoSpaceDN w:val="0"/>
        <w:adjustRightInd w:val="0"/>
        <w:spacing w:after="0" w:line="240" w:lineRule="auto"/>
        <w:ind w:firstLine="540"/>
        <w:jc w:val="both"/>
        <w:rPr>
          <w:rFonts w:cs="Calibri"/>
        </w:rPr>
      </w:pPr>
      <w:r>
        <w:rPr>
          <w:rFonts w:cs="Calibri"/>
        </w:rPr>
        <w:t>iii) Страны - члены должны применять адекватные санкции за пропуски, фальсификации и злоупотребления в сфере бухгалтерского учета.</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Б. Независимый внешний аудит</w:t>
      </w:r>
    </w:p>
    <w:p w:rsidR="005519F6" w:rsidRDefault="005519F6">
      <w:pPr>
        <w:widowControl w:val="0"/>
        <w:autoSpaceDE w:val="0"/>
        <w:autoSpaceDN w:val="0"/>
        <w:adjustRightInd w:val="0"/>
        <w:spacing w:after="0" w:line="240" w:lineRule="auto"/>
        <w:ind w:firstLine="540"/>
        <w:jc w:val="both"/>
        <w:rPr>
          <w:rFonts w:cs="Calibri"/>
        </w:rPr>
      </w:pPr>
      <w:r>
        <w:rPr>
          <w:rFonts w:cs="Calibri"/>
        </w:rPr>
        <w:t>i) Страны - члены должны проверить адекватность требований представления учетных документов на внешний аудит.</w:t>
      </w:r>
    </w:p>
    <w:p w:rsidR="005519F6" w:rsidRDefault="005519F6">
      <w:pPr>
        <w:widowControl w:val="0"/>
        <w:autoSpaceDE w:val="0"/>
        <w:autoSpaceDN w:val="0"/>
        <w:adjustRightInd w:val="0"/>
        <w:spacing w:after="0" w:line="240" w:lineRule="auto"/>
        <w:ind w:firstLine="540"/>
        <w:jc w:val="both"/>
        <w:rPr>
          <w:rFonts w:cs="Calibri"/>
        </w:rPr>
      </w:pPr>
      <w:r>
        <w:rPr>
          <w:rFonts w:cs="Calibri"/>
        </w:rPr>
        <w:t>ii) Страны - члены и профессиональные ассоциации должны применять адекватные стандарты для обеспечения независимости внешних аудиторов, которая бы позволяла им вырабатывать объективную оценку состояния счетов компании, качества финансовых отчетов и механизмов внутреннего контроля.</w:t>
      </w:r>
    </w:p>
    <w:p w:rsidR="005519F6" w:rsidRDefault="005519F6">
      <w:pPr>
        <w:widowControl w:val="0"/>
        <w:autoSpaceDE w:val="0"/>
        <w:autoSpaceDN w:val="0"/>
        <w:adjustRightInd w:val="0"/>
        <w:spacing w:after="0" w:line="240" w:lineRule="auto"/>
        <w:ind w:firstLine="540"/>
        <w:jc w:val="both"/>
        <w:rPr>
          <w:rFonts w:cs="Calibri"/>
        </w:rPr>
      </w:pPr>
      <w:r>
        <w:rPr>
          <w:rFonts w:cs="Calibri"/>
        </w:rPr>
        <w:t>iii) Страны - члены должны требовать от аудиторов, выявивших признаки возможного незаконного акта подкупа, докладывать об этом руководству компаний или контрольным органам корпораций в случаях, если таковые имеются.</w:t>
      </w:r>
    </w:p>
    <w:p w:rsidR="005519F6" w:rsidRDefault="005519F6">
      <w:pPr>
        <w:widowControl w:val="0"/>
        <w:autoSpaceDE w:val="0"/>
        <w:autoSpaceDN w:val="0"/>
        <w:adjustRightInd w:val="0"/>
        <w:spacing w:after="0" w:line="240" w:lineRule="auto"/>
        <w:ind w:firstLine="540"/>
        <w:jc w:val="both"/>
        <w:rPr>
          <w:rFonts w:cs="Calibri"/>
        </w:rPr>
      </w:pPr>
      <w:r>
        <w:rPr>
          <w:rFonts w:cs="Calibri"/>
        </w:rPr>
        <w:t>iv) Страны - члены должны рассмотреть возможность предъявления требования к аудитору докладывать о признаках вероятного факта взяточничества компетентным органам.</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В. Механизмы внутреннего контроля компаний</w:t>
      </w:r>
    </w:p>
    <w:p w:rsidR="005519F6" w:rsidRDefault="005519F6">
      <w:pPr>
        <w:widowControl w:val="0"/>
        <w:autoSpaceDE w:val="0"/>
        <w:autoSpaceDN w:val="0"/>
        <w:adjustRightInd w:val="0"/>
        <w:spacing w:after="0" w:line="240" w:lineRule="auto"/>
        <w:ind w:firstLine="540"/>
        <w:jc w:val="both"/>
        <w:rPr>
          <w:rFonts w:cs="Calibri"/>
        </w:rPr>
      </w:pPr>
      <w:r>
        <w:rPr>
          <w:rFonts w:cs="Calibri"/>
        </w:rPr>
        <w:t>i) Страны - члены должны поощрять разработку и принятие соответствующих механизмов внутреннего контроля компаний, включая стандарты поведения.</w:t>
      </w:r>
    </w:p>
    <w:p w:rsidR="005519F6" w:rsidRDefault="005519F6">
      <w:pPr>
        <w:widowControl w:val="0"/>
        <w:autoSpaceDE w:val="0"/>
        <w:autoSpaceDN w:val="0"/>
        <w:adjustRightInd w:val="0"/>
        <w:spacing w:after="0" w:line="240" w:lineRule="auto"/>
        <w:ind w:firstLine="540"/>
        <w:jc w:val="both"/>
        <w:rPr>
          <w:rFonts w:cs="Calibri"/>
        </w:rPr>
      </w:pPr>
      <w:r>
        <w:rPr>
          <w:rFonts w:cs="Calibri"/>
        </w:rPr>
        <w:t>ii) Страны - члены должны поощрять руководство компаний включать в ежегодные отчеты сведения о механизмах внутреннего контроля, включая те из них, которые препятствуют взяточничеству.</w:t>
      </w:r>
    </w:p>
    <w:p w:rsidR="005519F6" w:rsidRDefault="005519F6">
      <w:pPr>
        <w:widowControl w:val="0"/>
        <w:autoSpaceDE w:val="0"/>
        <w:autoSpaceDN w:val="0"/>
        <w:adjustRightInd w:val="0"/>
        <w:spacing w:after="0" w:line="240" w:lineRule="auto"/>
        <w:ind w:firstLine="540"/>
        <w:jc w:val="both"/>
        <w:rPr>
          <w:rFonts w:cs="Calibri"/>
        </w:rPr>
      </w:pPr>
      <w:r>
        <w:rPr>
          <w:rFonts w:cs="Calibri"/>
        </w:rPr>
        <w:t>iii) Страны - члены должны поощрять создание контрольных органов, независимых от руководства, например, аудиторских комитетов при советах директоров или наблюдательных советах.</w:t>
      </w:r>
    </w:p>
    <w:p w:rsidR="005519F6" w:rsidRDefault="005519F6">
      <w:pPr>
        <w:widowControl w:val="0"/>
        <w:autoSpaceDE w:val="0"/>
        <w:autoSpaceDN w:val="0"/>
        <w:adjustRightInd w:val="0"/>
        <w:spacing w:after="0" w:line="240" w:lineRule="auto"/>
        <w:ind w:firstLine="540"/>
        <w:jc w:val="both"/>
        <w:rPr>
          <w:rFonts w:cs="Calibri"/>
        </w:rPr>
      </w:pPr>
      <w:r>
        <w:rPr>
          <w:rFonts w:cs="Calibri"/>
        </w:rPr>
        <w:t>iv) Страны - члены должны поощрять компании предоставлять каналы информации для использования лицами, не желающими нарушать профессиональные или этические стандарты по указанию или под давлением со стороны вышестоящих руководителей, и для защиты этих лиц.</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59" w:name="Par436"/>
      <w:bookmarkEnd w:id="59"/>
      <w:r>
        <w:rPr>
          <w:rFonts w:cs="Calibri"/>
        </w:rPr>
        <w:t>Государственные закупки</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bookmarkStart w:id="60" w:name="Par438"/>
      <w:bookmarkEnd w:id="60"/>
      <w:r>
        <w:rPr>
          <w:rFonts w:cs="Calibri"/>
        </w:rPr>
        <w:t>VI. Рекомендует, чтобы:</w:t>
      </w:r>
    </w:p>
    <w:p w:rsidR="005519F6" w:rsidRDefault="005519F6">
      <w:pPr>
        <w:widowControl w:val="0"/>
        <w:autoSpaceDE w:val="0"/>
        <w:autoSpaceDN w:val="0"/>
        <w:adjustRightInd w:val="0"/>
        <w:spacing w:after="0" w:line="240" w:lineRule="auto"/>
        <w:ind w:firstLine="540"/>
        <w:jc w:val="both"/>
        <w:rPr>
          <w:rFonts w:cs="Calibri"/>
        </w:rPr>
      </w:pPr>
      <w:r>
        <w:rPr>
          <w:rFonts w:cs="Calibri"/>
        </w:rPr>
        <w:t>i) Страны - члены поддерживали усилия Международной торговой организации по заключению соглашения о прозрачности государственных закупок;</w:t>
      </w:r>
    </w:p>
    <w:p w:rsidR="005519F6" w:rsidRDefault="005519F6">
      <w:pPr>
        <w:widowControl w:val="0"/>
        <w:autoSpaceDE w:val="0"/>
        <w:autoSpaceDN w:val="0"/>
        <w:adjustRightInd w:val="0"/>
        <w:spacing w:after="0" w:line="240" w:lineRule="auto"/>
        <w:ind w:firstLine="540"/>
        <w:jc w:val="both"/>
        <w:rPr>
          <w:rFonts w:cs="Calibri"/>
        </w:rPr>
      </w:pPr>
      <w:r>
        <w:rPr>
          <w:rFonts w:cs="Calibri"/>
        </w:rPr>
        <w:t>ii) Законы и правовые нормы стран - членов позволяли властям отстранять от участия в тендерах на получение государственных контрактов предприятия, имеющие стремление подкупить должностное лицо иностранного государства в нарушение национальных законов конкретной страны - члена, и в той степени, в какой страна - член применяет санкции к участникам тендера на получение государственного контракта к предприятиям, имеющим намерение подкупить должностное лицо своего государства, такие санкции должны применяться в равной степени в случае подкупа должностного лица иностранного государства;</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iii) В соответствии с Рекомендациями Комитета содействия развитию страны - члены должны требовать включения положений о борьбе с коррупцией в контракты на закупки, финансируемые </w:t>
      </w:r>
      <w:r>
        <w:rPr>
          <w:rFonts w:cs="Calibri"/>
        </w:rPr>
        <w:lastRenderedPageBreak/>
        <w:t>за счет средств двусторонней помощи, добиваться надлежащего выполнения положений документов международных организаций развития, направленных на борьбу с коррупцией, тесно сотрудничать с партнерами по проектам развития в интересах борьбы с коррупцией.</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61" w:name="Par443"/>
      <w:bookmarkEnd w:id="61"/>
      <w:r>
        <w:rPr>
          <w:rFonts w:cs="Calibri"/>
        </w:rPr>
        <w:t>Международное сотрудничество</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bookmarkStart w:id="62" w:name="Par445"/>
      <w:bookmarkEnd w:id="62"/>
      <w:r>
        <w:rPr>
          <w:rFonts w:cs="Calibri"/>
        </w:rPr>
        <w:t>VII. Рекомендует, чтобы страны - члены предприняли следующие действия для борьбы со взяточничеством в международных деловых операциях в соответствии с национальными юрисдикционными принципами и другими основными правовыми принципами:</w:t>
      </w:r>
    </w:p>
    <w:p w:rsidR="005519F6" w:rsidRDefault="005519F6">
      <w:pPr>
        <w:widowControl w:val="0"/>
        <w:autoSpaceDE w:val="0"/>
        <w:autoSpaceDN w:val="0"/>
        <w:adjustRightInd w:val="0"/>
        <w:spacing w:after="0" w:line="240" w:lineRule="auto"/>
        <w:ind w:firstLine="540"/>
        <w:jc w:val="both"/>
        <w:rPr>
          <w:rFonts w:cs="Calibri"/>
        </w:rPr>
      </w:pPr>
      <w:r>
        <w:rPr>
          <w:rFonts w:cs="Calibri"/>
        </w:rPr>
        <w:t>i) проводили консультации и использовали все возможные формы сотрудничества с соответствующими органами власти других стран в проведении расследований и судопроизводства в отношении конкретных дел о таком взяточничестве, используя широкий обмен информацией (автоматически или по запросу), предоставляя улики и применяя механизмы экстрадиции;</w:t>
      </w:r>
    </w:p>
    <w:p w:rsidR="005519F6" w:rsidRDefault="005519F6">
      <w:pPr>
        <w:widowControl w:val="0"/>
        <w:autoSpaceDE w:val="0"/>
        <w:autoSpaceDN w:val="0"/>
        <w:adjustRightInd w:val="0"/>
        <w:spacing w:after="0" w:line="240" w:lineRule="auto"/>
        <w:ind w:firstLine="540"/>
        <w:jc w:val="both"/>
        <w:rPr>
          <w:rFonts w:cs="Calibri"/>
        </w:rPr>
      </w:pPr>
      <w:r>
        <w:rPr>
          <w:rFonts w:cs="Calibri"/>
        </w:rPr>
        <w:t>ii) в полной мере использовали существующие механизмы и соглашения в сфере оказания взаимной международной правовой помощи и, когда это необходимо, присоединялись к новым соглашениям и механизмам, направленным на решение этой задачи;</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iii) обеспечивали бы создание законодательной базы для такого сотрудничества, в частности, в соответствии с </w:t>
      </w:r>
      <w:hyperlink w:anchor="Par511" w:history="1">
        <w:r>
          <w:rPr>
            <w:rFonts w:cs="Calibri"/>
            <w:color w:val="0000FF"/>
          </w:rPr>
          <w:t>п. 8</w:t>
        </w:r>
      </w:hyperlink>
      <w:r>
        <w:rPr>
          <w:rFonts w:cs="Calibri"/>
        </w:rPr>
        <w:t xml:space="preserve"> Приложения.</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63" w:name="Par450"/>
      <w:bookmarkEnd w:id="63"/>
      <w:r>
        <w:rPr>
          <w:rFonts w:cs="Calibri"/>
        </w:rPr>
        <w:t>Последующие институциональные механизмы</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bookmarkStart w:id="64" w:name="Par452"/>
      <w:bookmarkEnd w:id="64"/>
      <w:r>
        <w:rPr>
          <w:rFonts w:cs="Calibri"/>
        </w:rPr>
        <w:t>VIII. Поручает Комитету по международным инвестициям и многонациональным предприятиям через Рабочую группу по борьбе со взяточничеством в международных деловых операциях выполнить программу систематических последующих мероприятий с целью текущего контроля и продвижения полной реализации данных Рекомендаций в сотрудничестве с Комитетом по бюджетно-налоговым вопросам, Комитетом содействия развитию, а также другими соответствующими органами ОЭСР. Последующее сопровождение будет, в частности, включать такие меры:</w:t>
      </w:r>
    </w:p>
    <w:p w:rsidR="005519F6" w:rsidRDefault="005519F6">
      <w:pPr>
        <w:widowControl w:val="0"/>
        <w:autoSpaceDE w:val="0"/>
        <w:autoSpaceDN w:val="0"/>
        <w:adjustRightInd w:val="0"/>
        <w:spacing w:after="0" w:line="240" w:lineRule="auto"/>
        <w:ind w:firstLine="540"/>
        <w:jc w:val="both"/>
        <w:rPr>
          <w:rFonts w:cs="Calibri"/>
        </w:rPr>
      </w:pPr>
      <w:r>
        <w:rPr>
          <w:rFonts w:cs="Calibri"/>
        </w:rPr>
        <w:t>i) получение извещений и другой информации, представляемой странами - членами;</w:t>
      </w:r>
    </w:p>
    <w:p w:rsidR="005519F6" w:rsidRDefault="005519F6">
      <w:pPr>
        <w:widowControl w:val="0"/>
        <w:autoSpaceDE w:val="0"/>
        <w:autoSpaceDN w:val="0"/>
        <w:adjustRightInd w:val="0"/>
        <w:spacing w:after="0" w:line="240" w:lineRule="auto"/>
        <w:ind w:firstLine="540"/>
        <w:jc w:val="both"/>
        <w:rPr>
          <w:rFonts w:cs="Calibri"/>
        </w:rPr>
      </w:pPr>
      <w:r>
        <w:rPr>
          <w:rFonts w:cs="Calibri"/>
        </w:rPr>
        <w:t>ii) проведение регулярных обследований шагов, предпринимаемых странами - членами для реализации Рекомендаций, выработка новых необходимых предложений, направленных на содействие странам - членам в осуществлении Рекомендаций; эти обследования будут включать следующие дополнительные системы:</w:t>
      </w:r>
    </w:p>
    <w:p w:rsidR="005519F6" w:rsidRDefault="005519F6">
      <w:pPr>
        <w:widowControl w:val="0"/>
        <w:autoSpaceDE w:val="0"/>
        <w:autoSpaceDN w:val="0"/>
        <w:adjustRightInd w:val="0"/>
        <w:spacing w:after="0" w:line="240" w:lineRule="auto"/>
        <w:ind w:firstLine="540"/>
        <w:jc w:val="both"/>
        <w:rPr>
          <w:rFonts w:cs="Calibri"/>
        </w:rPr>
      </w:pPr>
      <w:r>
        <w:rPr>
          <w:rFonts w:cs="Calibri"/>
        </w:rPr>
        <w:t>- систему самооценки, в соответствии с которой ответы на вопросы анкеты представленные странами - членами, составят основу оценки процесса реализации Рекомендаций;</w:t>
      </w:r>
    </w:p>
    <w:p w:rsidR="005519F6" w:rsidRDefault="005519F6">
      <w:pPr>
        <w:widowControl w:val="0"/>
        <w:autoSpaceDE w:val="0"/>
        <w:autoSpaceDN w:val="0"/>
        <w:adjustRightInd w:val="0"/>
        <w:spacing w:after="0" w:line="240" w:lineRule="auto"/>
        <w:ind w:firstLine="540"/>
        <w:jc w:val="both"/>
        <w:rPr>
          <w:rFonts w:cs="Calibri"/>
        </w:rPr>
      </w:pPr>
      <w:r>
        <w:rPr>
          <w:rFonts w:cs="Calibri"/>
        </w:rPr>
        <w:t>- систему взаимной оценки, при которой состояние реализации Рекомендаций каждой страной - членом будет оцениваться Рабочей группой по борьбе со взяточничеством на основе отчета, который даст объективную оценку успехов конкретной страны - члена в выполнении положений Рекомендаций.</w:t>
      </w:r>
    </w:p>
    <w:p w:rsidR="005519F6" w:rsidRDefault="005519F6">
      <w:pPr>
        <w:widowControl w:val="0"/>
        <w:autoSpaceDE w:val="0"/>
        <w:autoSpaceDN w:val="0"/>
        <w:adjustRightInd w:val="0"/>
        <w:spacing w:after="0" w:line="240" w:lineRule="auto"/>
        <w:ind w:firstLine="540"/>
        <w:jc w:val="both"/>
        <w:rPr>
          <w:rFonts w:cs="Calibri"/>
        </w:rPr>
      </w:pPr>
      <w:r>
        <w:rPr>
          <w:rFonts w:cs="Calibri"/>
        </w:rPr>
        <w:t>iii) исследование конкретных вопросов взяточничества в международных деловых операциях;</w:t>
      </w:r>
    </w:p>
    <w:p w:rsidR="005519F6" w:rsidRDefault="005519F6">
      <w:pPr>
        <w:widowControl w:val="0"/>
        <w:autoSpaceDE w:val="0"/>
        <w:autoSpaceDN w:val="0"/>
        <w:adjustRightInd w:val="0"/>
        <w:spacing w:after="0" w:line="240" w:lineRule="auto"/>
        <w:ind w:firstLine="540"/>
        <w:jc w:val="both"/>
        <w:rPr>
          <w:rFonts w:cs="Calibri"/>
        </w:rPr>
      </w:pPr>
      <w:r>
        <w:rPr>
          <w:rFonts w:cs="Calibri"/>
        </w:rPr>
        <w:t>iv) исследование практических возможностей расширения масштабов работы ОЭСР в сфере борьбы с международным взяточничеством, включая взяточничество в частном секторе и подкуп должностных лиц иностранных государств по мотивам, отличным от стремления получить или сохранить деловую выгоду;</w:t>
      </w:r>
    </w:p>
    <w:p w:rsidR="005519F6" w:rsidRDefault="005519F6">
      <w:pPr>
        <w:widowControl w:val="0"/>
        <w:autoSpaceDE w:val="0"/>
        <w:autoSpaceDN w:val="0"/>
        <w:adjustRightInd w:val="0"/>
        <w:spacing w:after="0" w:line="240" w:lineRule="auto"/>
        <w:ind w:firstLine="540"/>
        <w:jc w:val="both"/>
        <w:rPr>
          <w:rFonts w:cs="Calibri"/>
        </w:rPr>
      </w:pPr>
      <w:r>
        <w:rPr>
          <w:rFonts w:cs="Calibri"/>
        </w:rPr>
        <w:t>v) предоставление регулярной информации общественности о работе и мероприятиях, направленных на осуществление положений Рекомендаций.</w:t>
      </w:r>
    </w:p>
    <w:p w:rsidR="005519F6" w:rsidRDefault="005519F6">
      <w:pPr>
        <w:widowControl w:val="0"/>
        <w:autoSpaceDE w:val="0"/>
        <w:autoSpaceDN w:val="0"/>
        <w:adjustRightInd w:val="0"/>
        <w:spacing w:after="0" w:line="240" w:lineRule="auto"/>
        <w:ind w:firstLine="540"/>
        <w:jc w:val="both"/>
        <w:rPr>
          <w:rFonts w:cs="Calibri"/>
        </w:rPr>
      </w:pPr>
      <w:r>
        <w:rPr>
          <w:rFonts w:cs="Calibri"/>
        </w:rPr>
        <w:t>IX. Обращает внимание на обязательство стран - участниц тесно сотрудничать в осуществлении данной программы последующего сопровождения согласно ст. 3 Конвенции ОЭСР.</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X. Поручает Комитету по международным инвестициям и многонациональным предприятиям проанализировать реализацию положений </w:t>
      </w:r>
      <w:hyperlink w:anchor="Par406" w:history="1">
        <w:r>
          <w:rPr>
            <w:rFonts w:cs="Calibri"/>
            <w:color w:val="0000FF"/>
          </w:rPr>
          <w:t>раздела III</w:t>
        </w:r>
      </w:hyperlink>
      <w:r>
        <w:rPr>
          <w:rFonts w:cs="Calibri"/>
        </w:rPr>
        <w:t xml:space="preserve"> в сотрудничестве с Комитетом по бюджетно-налоговым вопросам, </w:t>
      </w:r>
      <w:hyperlink w:anchor="Par411" w:history="1">
        <w:r>
          <w:rPr>
            <w:rFonts w:cs="Calibri"/>
            <w:color w:val="0000FF"/>
          </w:rPr>
          <w:t>раздела IV</w:t>
        </w:r>
      </w:hyperlink>
      <w:r>
        <w:rPr>
          <w:rFonts w:cs="Calibri"/>
        </w:rPr>
        <w:t xml:space="preserve"> данных Рекомендаций и доложить об этом министрам стран - членов весной 1998 года, докладывать Совету после первого регулярного </w:t>
      </w:r>
      <w:r>
        <w:rPr>
          <w:rFonts w:cs="Calibri"/>
        </w:rPr>
        <w:lastRenderedPageBreak/>
        <w:t>обследования, а затем докладывать по мере необходимости; провести обследование выполнения этих пересмотренных Рекомендаций в течение трех лет после их принятия.</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65" w:name="Par463"/>
      <w:bookmarkEnd w:id="65"/>
      <w:r>
        <w:rPr>
          <w:rFonts w:cs="Calibri"/>
        </w:rPr>
        <w:t>Сотрудничество со странами, не входящими в ОЭСР</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XI. Обращается к странам, не входящим в ОЭСР, с призывом выполнять эти Рекомендации и принимать участие в любых последующих институциональных мероприятиях или механизмах реализации Рекомендаций.</w:t>
      </w:r>
    </w:p>
    <w:p w:rsidR="005519F6" w:rsidRDefault="005519F6">
      <w:pPr>
        <w:widowControl w:val="0"/>
        <w:autoSpaceDE w:val="0"/>
        <w:autoSpaceDN w:val="0"/>
        <w:adjustRightInd w:val="0"/>
        <w:spacing w:after="0" w:line="240" w:lineRule="auto"/>
        <w:ind w:firstLine="540"/>
        <w:jc w:val="both"/>
        <w:rPr>
          <w:rFonts w:cs="Calibri"/>
        </w:rPr>
      </w:pPr>
      <w:r>
        <w:rPr>
          <w:rFonts w:cs="Calibri"/>
        </w:rPr>
        <w:t>XII. Поручает Комитету по международным инвестициям и многонациональным предприятиям через Рабочую группу по борьбе со взяточничеством в международных деловых операциях обеспечить канал для проведения консультаций со странами, которые не придерживаются положений Рекомендаций, в интересах содействия более широкому участию стран в выполнении Рекомендаций и проведении последующих мероприятий.</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1"/>
        <w:rPr>
          <w:rFonts w:cs="Calibri"/>
        </w:rPr>
      </w:pPr>
      <w:bookmarkStart w:id="66" w:name="Par468"/>
      <w:bookmarkEnd w:id="66"/>
      <w:r>
        <w:rPr>
          <w:rFonts w:cs="Calibri"/>
        </w:rPr>
        <w:t>Отношения с международными правительственными и</w:t>
      </w:r>
    </w:p>
    <w:p w:rsidR="005519F6" w:rsidRDefault="005519F6">
      <w:pPr>
        <w:widowControl w:val="0"/>
        <w:autoSpaceDE w:val="0"/>
        <w:autoSpaceDN w:val="0"/>
        <w:adjustRightInd w:val="0"/>
        <w:spacing w:after="0" w:line="240" w:lineRule="auto"/>
        <w:jc w:val="center"/>
        <w:rPr>
          <w:rFonts w:cs="Calibri"/>
        </w:rPr>
      </w:pPr>
      <w:r>
        <w:rPr>
          <w:rFonts w:cs="Calibri"/>
        </w:rPr>
        <w:t>неправительственными организациями</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XIII. Приглашает Комитет по международным инвестициям и многонациональным предприятиям через Рабочую группу по борьбе со взяточничеством в международных деловых операциях проводить консультации и сотрудничать с международными организациями и международными финансовыми учреждениями, проводящими активные мероприятия по борьбе со взяточничеством в международных деловых операциях, а также регулярно консультироваться с неправительственными организациями и представителями деловых кругов, проявляющими активность в этой области.</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right"/>
        <w:outlineLvl w:val="1"/>
        <w:rPr>
          <w:rFonts w:cs="Calibri"/>
        </w:rPr>
      </w:pPr>
      <w:bookmarkStart w:id="67" w:name="Par477"/>
      <w:bookmarkEnd w:id="67"/>
      <w:r>
        <w:rPr>
          <w:rFonts w:cs="Calibri"/>
        </w:rPr>
        <w:t>Приложение</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rPr>
          <w:rFonts w:cs="Calibri"/>
          <w:b/>
          <w:bCs/>
        </w:rPr>
      </w:pPr>
      <w:bookmarkStart w:id="68" w:name="Par479"/>
      <w:bookmarkEnd w:id="68"/>
      <w:r>
        <w:rPr>
          <w:rFonts w:cs="Calibri"/>
          <w:b/>
          <w:bCs/>
        </w:rPr>
        <w:t>СОГЛАСОВАННЫЕ ОБЩИЕ ЭЛЕМЕНТЫ</w:t>
      </w:r>
    </w:p>
    <w:p w:rsidR="005519F6" w:rsidRDefault="005519F6">
      <w:pPr>
        <w:widowControl w:val="0"/>
        <w:autoSpaceDE w:val="0"/>
        <w:autoSpaceDN w:val="0"/>
        <w:adjustRightInd w:val="0"/>
        <w:spacing w:after="0" w:line="240" w:lineRule="auto"/>
        <w:jc w:val="center"/>
        <w:rPr>
          <w:rFonts w:cs="Calibri"/>
          <w:b/>
          <w:bCs/>
        </w:rPr>
      </w:pPr>
      <w:r>
        <w:rPr>
          <w:rFonts w:cs="Calibri"/>
          <w:b/>
          <w:bCs/>
        </w:rPr>
        <w:t>УГОЛОВНОГО ЗАКОНОДАТЕЛЬСТВА И СООТВЕТСТВУЮЩИХ МЕР</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1) Элементы активного взяточничества как уголовно наказуемого преступления</w:t>
      </w:r>
    </w:p>
    <w:p w:rsidR="005519F6" w:rsidRDefault="005519F6">
      <w:pPr>
        <w:widowControl w:val="0"/>
        <w:autoSpaceDE w:val="0"/>
        <w:autoSpaceDN w:val="0"/>
        <w:adjustRightInd w:val="0"/>
        <w:spacing w:after="0" w:line="240" w:lineRule="auto"/>
        <w:ind w:firstLine="540"/>
        <w:jc w:val="both"/>
        <w:rPr>
          <w:rFonts w:cs="Calibri"/>
        </w:rPr>
      </w:pPr>
      <w:r>
        <w:rPr>
          <w:rFonts w:cs="Calibri"/>
        </w:rPr>
        <w:t>i) Под взяточничеством подразумевается обещание или предоставление любых ненадлежащих платежей или иных преимуществ прямо или косвенно или через посредников должностному лицу в его личных интересах или для третьего лица с целью вынудить такое лицо совершить определенные действия или проявить бездействие в связи с выполнением своих официальных обязанностей в целях получения или сохранения деловой выгоды взяткодателем.</w:t>
      </w:r>
    </w:p>
    <w:p w:rsidR="005519F6" w:rsidRDefault="005519F6">
      <w:pPr>
        <w:widowControl w:val="0"/>
        <w:autoSpaceDE w:val="0"/>
        <w:autoSpaceDN w:val="0"/>
        <w:adjustRightInd w:val="0"/>
        <w:spacing w:after="0" w:line="240" w:lineRule="auto"/>
        <w:ind w:firstLine="540"/>
        <w:jc w:val="both"/>
        <w:rPr>
          <w:rFonts w:cs="Calibri"/>
        </w:rPr>
      </w:pPr>
      <w:r>
        <w:rPr>
          <w:rFonts w:cs="Calibri"/>
        </w:rPr>
        <w:t>ii) Должностное лицо иностранного государства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или в международной организации или любое лицо, отправляющее государственные функции или задания в иностранном государстве.</w:t>
      </w:r>
    </w:p>
    <w:p w:rsidR="005519F6" w:rsidRDefault="005519F6">
      <w:pPr>
        <w:widowControl w:val="0"/>
        <w:autoSpaceDE w:val="0"/>
        <w:autoSpaceDN w:val="0"/>
        <w:adjustRightInd w:val="0"/>
        <w:spacing w:after="0" w:line="240" w:lineRule="auto"/>
        <w:ind w:firstLine="540"/>
        <w:jc w:val="both"/>
        <w:rPr>
          <w:rFonts w:cs="Calibri"/>
        </w:rPr>
      </w:pPr>
      <w:r>
        <w:rPr>
          <w:rFonts w:cs="Calibri"/>
        </w:rPr>
        <w:t>iii) Оферент - это любое лицо, действующее от собственного имени или от имени любого юридического или физического лица.</w:t>
      </w:r>
    </w:p>
    <w:p w:rsidR="005519F6" w:rsidRDefault="005519F6">
      <w:pPr>
        <w:widowControl w:val="0"/>
        <w:autoSpaceDE w:val="0"/>
        <w:autoSpaceDN w:val="0"/>
        <w:adjustRightInd w:val="0"/>
        <w:spacing w:after="0" w:line="240" w:lineRule="auto"/>
        <w:ind w:firstLine="540"/>
        <w:jc w:val="both"/>
        <w:rPr>
          <w:rFonts w:cs="Calibri"/>
        </w:rPr>
      </w:pPr>
      <w:r>
        <w:rPr>
          <w:rFonts w:cs="Calibri"/>
        </w:rPr>
        <w:t>2) Вспомогательные признаки или правонарушения</w:t>
      </w:r>
    </w:p>
    <w:p w:rsidR="005519F6" w:rsidRDefault="005519F6">
      <w:pPr>
        <w:widowControl w:val="0"/>
        <w:autoSpaceDE w:val="0"/>
        <w:autoSpaceDN w:val="0"/>
        <w:adjustRightInd w:val="0"/>
        <w:spacing w:after="0" w:line="240" w:lineRule="auto"/>
        <w:ind w:firstLine="540"/>
        <w:jc w:val="both"/>
        <w:rPr>
          <w:rFonts w:cs="Calibri"/>
        </w:rPr>
      </w:pPr>
      <w:r>
        <w:rPr>
          <w:rFonts w:cs="Calibri"/>
        </w:rPr>
        <w:t>Концепции общего уголовного права, включая покушение на преступление, соучастие и/или сговор, в законодательстве государства, осуществляющего уголовное преследование, признаются в качестве применимых к квалификации такого преступления, как подкуп должностного лица иностранного государства.</w:t>
      </w:r>
    </w:p>
    <w:p w:rsidR="005519F6" w:rsidRDefault="005519F6">
      <w:pPr>
        <w:widowControl w:val="0"/>
        <w:autoSpaceDE w:val="0"/>
        <w:autoSpaceDN w:val="0"/>
        <w:adjustRightInd w:val="0"/>
        <w:spacing w:after="0" w:line="240" w:lineRule="auto"/>
        <w:ind w:firstLine="540"/>
        <w:jc w:val="both"/>
        <w:rPr>
          <w:rFonts w:cs="Calibri"/>
        </w:rPr>
      </w:pPr>
      <w:r>
        <w:rPr>
          <w:rFonts w:cs="Calibri"/>
        </w:rPr>
        <w:t>3) Оправдывающие обстоятельства и обстоятельства, освобождающие от ответственности</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Подкуп должностного лица иностранного государства для получения или сохранения деловых выгод - это преступление, независимо от суммы или конечного результата взятки или </w:t>
      </w:r>
      <w:r>
        <w:rPr>
          <w:rFonts w:cs="Calibri"/>
        </w:rPr>
        <w:lastRenderedPageBreak/>
        <w:t>отношения ко взяточничеству, закрепленному в местных обычаях, или терпимости к взяткам со стороны местных властей.</w:t>
      </w:r>
    </w:p>
    <w:p w:rsidR="005519F6" w:rsidRDefault="005519F6">
      <w:pPr>
        <w:widowControl w:val="0"/>
        <w:autoSpaceDE w:val="0"/>
        <w:autoSpaceDN w:val="0"/>
        <w:adjustRightInd w:val="0"/>
        <w:spacing w:after="0" w:line="240" w:lineRule="auto"/>
        <w:ind w:firstLine="540"/>
        <w:jc w:val="both"/>
        <w:rPr>
          <w:rFonts w:cs="Calibri"/>
        </w:rPr>
      </w:pPr>
      <w:r>
        <w:rPr>
          <w:rFonts w:cs="Calibri"/>
        </w:rPr>
        <w:t>4) Юрисдикция</w:t>
      </w:r>
    </w:p>
    <w:p w:rsidR="005519F6" w:rsidRDefault="005519F6">
      <w:pPr>
        <w:widowControl w:val="0"/>
        <w:autoSpaceDE w:val="0"/>
        <w:autoSpaceDN w:val="0"/>
        <w:adjustRightInd w:val="0"/>
        <w:spacing w:after="0" w:line="240" w:lineRule="auto"/>
        <w:ind w:firstLine="540"/>
        <w:jc w:val="both"/>
        <w:rPr>
          <w:rFonts w:cs="Calibri"/>
        </w:rPr>
      </w:pPr>
      <w:r>
        <w:rPr>
          <w:rFonts w:cs="Calibri"/>
        </w:rPr>
        <w:t>Юрисдикция над подкупом должностных лиц иностранных государств как уголовным преступлением должна быть установлена в любом случае, когда преступление полностью или частично совершается на территории государства, осуществляющего уголовное преследование данного преступления. Территориальную основу для юрисдикции необходимо толковать в широких пределах, чтобы не понадобилось устанавливать широкой физической связи с актом взяточничества.</w:t>
      </w:r>
    </w:p>
    <w:p w:rsidR="005519F6" w:rsidRDefault="005519F6">
      <w:pPr>
        <w:widowControl w:val="0"/>
        <w:autoSpaceDE w:val="0"/>
        <w:autoSpaceDN w:val="0"/>
        <w:adjustRightInd w:val="0"/>
        <w:spacing w:after="0" w:line="240" w:lineRule="auto"/>
        <w:ind w:firstLine="540"/>
        <w:jc w:val="both"/>
        <w:rPr>
          <w:rFonts w:cs="Calibri"/>
        </w:rPr>
      </w:pPr>
      <w:r>
        <w:rPr>
          <w:rFonts w:cs="Calibri"/>
        </w:rPr>
        <w:t>Государства, подвергающие своих граждан уголовному преследованию за преступления, совершенные за границей, должны поступать в соответствии с аналогичными принципами в отношении подкупа должностных лиц иностранных государств.</w:t>
      </w:r>
    </w:p>
    <w:p w:rsidR="005519F6" w:rsidRDefault="005519F6">
      <w:pPr>
        <w:widowControl w:val="0"/>
        <w:autoSpaceDE w:val="0"/>
        <w:autoSpaceDN w:val="0"/>
        <w:adjustRightInd w:val="0"/>
        <w:spacing w:after="0" w:line="240" w:lineRule="auto"/>
        <w:ind w:firstLine="540"/>
        <w:jc w:val="both"/>
        <w:rPr>
          <w:rFonts w:cs="Calibri"/>
        </w:rPr>
      </w:pPr>
      <w:r>
        <w:rPr>
          <w:rFonts w:cs="Calibri"/>
        </w:rPr>
        <w:t>Государства, не осуществляющие уголовного преследования на основе принципа национальности, должны быть готовы к выдаче своих граждан в связи с подкупом должностных лиц иностранных государств.</w:t>
      </w:r>
    </w:p>
    <w:p w:rsidR="005519F6" w:rsidRDefault="005519F6">
      <w:pPr>
        <w:widowControl w:val="0"/>
        <w:autoSpaceDE w:val="0"/>
        <w:autoSpaceDN w:val="0"/>
        <w:adjustRightInd w:val="0"/>
        <w:spacing w:after="0" w:line="240" w:lineRule="auto"/>
        <w:ind w:firstLine="540"/>
        <w:jc w:val="both"/>
        <w:rPr>
          <w:rFonts w:cs="Calibri"/>
        </w:rPr>
      </w:pPr>
      <w:r>
        <w:rPr>
          <w:rFonts w:cs="Calibri"/>
        </w:rPr>
        <w:t>Все страны должны определить, насколько применяемая ими в настоящее время база для юрисдикции эффективна в борьбе против подкупа должностных лиц иностранных государств, и в случае недостаточной эффективности этой базы - принять меры для исправления положения.</w:t>
      </w:r>
    </w:p>
    <w:p w:rsidR="005519F6" w:rsidRDefault="005519F6">
      <w:pPr>
        <w:widowControl w:val="0"/>
        <w:autoSpaceDE w:val="0"/>
        <w:autoSpaceDN w:val="0"/>
        <w:adjustRightInd w:val="0"/>
        <w:spacing w:after="0" w:line="240" w:lineRule="auto"/>
        <w:ind w:firstLine="540"/>
        <w:jc w:val="both"/>
        <w:rPr>
          <w:rFonts w:cs="Calibri"/>
        </w:rPr>
      </w:pPr>
      <w:r>
        <w:rPr>
          <w:rFonts w:cs="Calibri"/>
        </w:rPr>
        <w:t>5) Санкции</w:t>
      </w:r>
    </w:p>
    <w:p w:rsidR="005519F6" w:rsidRDefault="005519F6">
      <w:pPr>
        <w:widowControl w:val="0"/>
        <w:autoSpaceDE w:val="0"/>
        <w:autoSpaceDN w:val="0"/>
        <w:adjustRightInd w:val="0"/>
        <w:spacing w:after="0" w:line="240" w:lineRule="auto"/>
        <w:ind w:firstLine="540"/>
        <w:jc w:val="both"/>
        <w:rPr>
          <w:rFonts w:cs="Calibri"/>
        </w:rPr>
      </w:pPr>
      <w:r>
        <w:rPr>
          <w:rFonts w:cs="Calibri"/>
        </w:rPr>
        <w:t>Преступление подкупа должностных лиц иностранных государств подлежит применению санкций или эффективных, соразмерных и решительных наказаний, достаточных для обеспечения взаимной правовой помощи и экстрадиции и сравнимых с санкциями или наказаниями, которые применяются к лицам, виновным в подкупе отечественных должностных лиц.</w:t>
      </w:r>
    </w:p>
    <w:p w:rsidR="005519F6" w:rsidRDefault="005519F6">
      <w:pPr>
        <w:widowControl w:val="0"/>
        <w:autoSpaceDE w:val="0"/>
        <w:autoSpaceDN w:val="0"/>
        <w:adjustRightInd w:val="0"/>
        <w:spacing w:after="0" w:line="240" w:lineRule="auto"/>
        <w:ind w:firstLine="540"/>
        <w:jc w:val="both"/>
        <w:rPr>
          <w:rFonts w:cs="Calibri"/>
        </w:rPr>
      </w:pPr>
      <w:r>
        <w:rPr>
          <w:rFonts w:cs="Calibri"/>
        </w:rPr>
        <w:t>Финансовые или прочие гражданские, административные или уголовные наказания, применяемые к любому виновному юридическому лицу, должны учитывать суммы взяток и размер прибыли, полученной в результате сделки, которая была реализована благодаря взятке.</w:t>
      </w:r>
    </w:p>
    <w:p w:rsidR="005519F6" w:rsidRDefault="005519F6">
      <w:pPr>
        <w:widowControl w:val="0"/>
        <w:autoSpaceDE w:val="0"/>
        <w:autoSpaceDN w:val="0"/>
        <w:adjustRightInd w:val="0"/>
        <w:spacing w:after="0" w:line="240" w:lineRule="auto"/>
        <w:ind w:firstLine="540"/>
        <w:jc w:val="both"/>
        <w:rPr>
          <w:rFonts w:cs="Calibri"/>
        </w:rPr>
      </w:pPr>
      <w:r>
        <w:rPr>
          <w:rFonts w:cs="Calibri"/>
        </w:rPr>
        <w:t>Должны быть обеспечены изъятие или конфискация доходов и прибыли от сделок, реализованных благодаря взятке, наложены соразмерные штрафы и обеспечена компенсация убытков.</w:t>
      </w:r>
    </w:p>
    <w:p w:rsidR="005519F6" w:rsidRDefault="005519F6">
      <w:pPr>
        <w:widowControl w:val="0"/>
        <w:autoSpaceDE w:val="0"/>
        <w:autoSpaceDN w:val="0"/>
        <w:adjustRightInd w:val="0"/>
        <w:spacing w:after="0" w:line="240" w:lineRule="auto"/>
        <w:ind w:firstLine="540"/>
        <w:jc w:val="both"/>
        <w:rPr>
          <w:rFonts w:cs="Calibri"/>
        </w:rPr>
      </w:pPr>
      <w:bookmarkStart w:id="69" w:name="Par499"/>
      <w:bookmarkEnd w:id="69"/>
      <w:r>
        <w:rPr>
          <w:rFonts w:cs="Calibri"/>
        </w:rPr>
        <w:t>6) Правоприменение</w:t>
      </w:r>
    </w:p>
    <w:p w:rsidR="005519F6" w:rsidRDefault="005519F6">
      <w:pPr>
        <w:widowControl w:val="0"/>
        <w:autoSpaceDE w:val="0"/>
        <w:autoSpaceDN w:val="0"/>
        <w:adjustRightInd w:val="0"/>
        <w:spacing w:after="0" w:line="240" w:lineRule="auto"/>
        <w:ind w:firstLine="540"/>
        <w:jc w:val="both"/>
        <w:rPr>
          <w:rFonts w:cs="Calibri"/>
        </w:rPr>
      </w:pPr>
      <w:r>
        <w:rPr>
          <w:rFonts w:cs="Calibri"/>
        </w:rPr>
        <w:t>Учитывая серьезность преступления подкупа должностных лиц иностранных государств, публичные обвинители должны независимо отправлять свое дискреционное право, основанное на профессиональных мотивах. На них не должны влиять соображения, связанные с национальными экономическими интересами, необходимостью укрепления или развития хороших политических отношений или личностью потерпевшего.</w:t>
      </w:r>
    </w:p>
    <w:p w:rsidR="005519F6" w:rsidRDefault="005519F6">
      <w:pPr>
        <w:widowControl w:val="0"/>
        <w:autoSpaceDE w:val="0"/>
        <w:autoSpaceDN w:val="0"/>
        <w:adjustRightInd w:val="0"/>
        <w:spacing w:after="0" w:line="240" w:lineRule="auto"/>
        <w:ind w:firstLine="540"/>
        <w:jc w:val="both"/>
        <w:rPr>
          <w:rFonts w:cs="Calibri"/>
        </w:rPr>
      </w:pPr>
      <w:r>
        <w:rPr>
          <w:rFonts w:cs="Calibri"/>
        </w:rPr>
        <w:t>Жалобы потерпевших должны всесторонне расследоваться компетентными органами.</w:t>
      </w:r>
    </w:p>
    <w:p w:rsidR="005519F6" w:rsidRDefault="005519F6">
      <w:pPr>
        <w:widowControl w:val="0"/>
        <w:autoSpaceDE w:val="0"/>
        <w:autoSpaceDN w:val="0"/>
        <w:adjustRightInd w:val="0"/>
        <w:spacing w:after="0" w:line="240" w:lineRule="auto"/>
        <w:ind w:firstLine="540"/>
        <w:jc w:val="both"/>
        <w:rPr>
          <w:rFonts w:cs="Calibri"/>
        </w:rPr>
      </w:pPr>
      <w:r>
        <w:rPr>
          <w:rFonts w:cs="Calibri"/>
        </w:rPr>
        <w:t>Закон об исковой давности должен предусматривать наличие времени, достаточного для расследования этого сложного преступления.</w:t>
      </w:r>
    </w:p>
    <w:p w:rsidR="005519F6" w:rsidRDefault="005519F6">
      <w:pPr>
        <w:widowControl w:val="0"/>
        <w:autoSpaceDE w:val="0"/>
        <w:autoSpaceDN w:val="0"/>
        <w:adjustRightInd w:val="0"/>
        <w:spacing w:after="0" w:line="240" w:lineRule="auto"/>
        <w:ind w:firstLine="540"/>
        <w:jc w:val="both"/>
        <w:rPr>
          <w:rFonts w:cs="Calibri"/>
        </w:rPr>
      </w:pPr>
      <w:r>
        <w:rPr>
          <w:rFonts w:cs="Calibri"/>
        </w:rPr>
        <w:t>Национальные правительства должны предоставлять адекватные ресурсы органам, осуществляющим уголовное преследование в целях обеспечения эффективного преследования подкупа должностных лиц иностранных государств.</w:t>
      </w:r>
    </w:p>
    <w:p w:rsidR="005519F6" w:rsidRDefault="005519F6">
      <w:pPr>
        <w:widowControl w:val="0"/>
        <w:autoSpaceDE w:val="0"/>
        <w:autoSpaceDN w:val="0"/>
        <w:adjustRightInd w:val="0"/>
        <w:spacing w:after="0" w:line="240" w:lineRule="auto"/>
        <w:ind w:firstLine="540"/>
        <w:jc w:val="both"/>
        <w:rPr>
          <w:rFonts w:cs="Calibri"/>
        </w:rPr>
      </w:pPr>
      <w:r>
        <w:rPr>
          <w:rFonts w:cs="Calibri"/>
        </w:rPr>
        <w:t>7) Связанные положения (уголовные и неуголовные)</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Требования к бухгалтерскому учету, отчетности и раскрытию сведений</w:t>
      </w:r>
    </w:p>
    <w:p w:rsidR="005519F6" w:rsidRDefault="005519F6">
      <w:pPr>
        <w:widowControl w:val="0"/>
        <w:autoSpaceDE w:val="0"/>
        <w:autoSpaceDN w:val="0"/>
        <w:adjustRightInd w:val="0"/>
        <w:spacing w:after="0" w:line="240" w:lineRule="auto"/>
        <w:ind w:firstLine="540"/>
        <w:jc w:val="both"/>
        <w:rPr>
          <w:rFonts w:cs="Calibri"/>
        </w:rPr>
      </w:pPr>
      <w:r>
        <w:rPr>
          <w:rFonts w:cs="Calibri"/>
        </w:rPr>
        <w:t>В целях эффективной борьбы с подкупом должностных лиц иностранных государств государства также должны применять адекватные санкции против учетных ошибок и пропусков, фальсификации документов и злоупотреблений.</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 Отмывание "грязных" денег</w:t>
      </w:r>
    </w:p>
    <w:p w:rsidR="005519F6" w:rsidRDefault="005519F6">
      <w:pPr>
        <w:widowControl w:val="0"/>
        <w:autoSpaceDE w:val="0"/>
        <w:autoSpaceDN w:val="0"/>
        <w:adjustRightInd w:val="0"/>
        <w:spacing w:after="0" w:line="240" w:lineRule="auto"/>
        <w:ind w:firstLine="540"/>
        <w:jc w:val="both"/>
        <w:rPr>
          <w:rFonts w:cs="Calibri"/>
        </w:rPr>
      </w:pPr>
      <w:r>
        <w:rPr>
          <w:rFonts w:cs="Calibri"/>
        </w:rPr>
        <w:t>Подкуп должностных лиц иностранных государств должен быть объявлен уголовным преступлением для целей применения законодательства о борьбе с отмыванием "грязных" денег, в котором подкуп должностного лица своего государства классифицируется как объявленное преступление, связанное с легализацией незаконных доходов, независимо от места совершения подкупа.</w:t>
      </w:r>
    </w:p>
    <w:p w:rsidR="005519F6" w:rsidRDefault="005519F6">
      <w:pPr>
        <w:widowControl w:val="0"/>
        <w:autoSpaceDE w:val="0"/>
        <w:autoSpaceDN w:val="0"/>
        <w:adjustRightInd w:val="0"/>
        <w:spacing w:after="0" w:line="240" w:lineRule="auto"/>
        <w:ind w:firstLine="540"/>
        <w:jc w:val="both"/>
        <w:rPr>
          <w:rFonts w:cs="Calibri"/>
        </w:rPr>
      </w:pPr>
      <w:bookmarkStart w:id="70" w:name="Par511"/>
      <w:bookmarkEnd w:id="70"/>
      <w:r>
        <w:rPr>
          <w:rFonts w:cs="Calibri"/>
        </w:rPr>
        <w:lastRenderedPageBreak/>
        <w:t>8) Международное сотрудничество</w:t>
      </w:r>
    </w:p>
    <w:p w:rsidR="005519F6" w:rsidRDefault="005519F6">
      <w:pPr>
        <w:widowControl w:val="0"/>
        <w:autoSpaceDE w:val="0"/>
        <w:autoSpaceDN w:val="0"/>
        <w:adjustRightInd w:val="0"/>
        <w:spacing w:after="0" w:line="240" w:lineRule="auto"/>
        <w:ind w:firstLine="540"/>
        <w:jc w:val="both"/>
        <w:rPr>
          <w:rFonts w:cs="Calibri"/>
        </w:rPr>
      </w:pPr>
      <w:r>
        <w:rPr>
          <w:rFonts w:cs="Calibri"/>
        </w:rPr>
        <w:t>Эффективная взаимная правовая помощь является важнейшим условием уголовного расследования и получения доказательств при преследовании случаев подкупа должностных лиц иностранных государств.</w:t>
      </w:r>
    </w:p>
    <w:p w:rsidR="005519F6" w:rsidRDefault="005519F6">
      <w:pPr>
        <w:widowControl w:val="0"/>
        <w:autoSpaceDE w:val="0"/>
        <w:autoSpaceDN w:val="0"/>
        <w:adjustRightInd w:val="0"/>
        <w:spacing w:after="0" w:line="240" w:lineRule="auto"/>
        <w:ind w:firstLine="540"/>
        <w:jc w:val="both"/>
        <w:rPr>
          <w:rFonts w:cs="Calibri"/>
        </w:rPr>
      </w:pPr>
      <w:r>
        <w:rPr>
          <w:rFonts w:cs="Calibri"/>
        </w:rPr>
        <w:t>Принятие законов, объявляющих преступлением по закону подкуп должностных лиц иностранных государств, устранило бы препятствия для взаимной правовой помощи, создаваемые требованиями двойной преступности.</w:t>
      </w:r>
    </w:p>
    <w:p w:rsidR="005519F6" w:rsidRDefault="005519F6">
      <w:pPr>
        <w:widowControl w:val="0"/>
        <w:autoSpaceDE w:val="0"/>
        <w:autoSpaceDN w:val="0"/>
        <w:adjustRightInd w:val="0"/>
        <w:spacing w:after="0" w:line="240" w:lineRule="auto"/>
        <w:ind w:firstLine="540"/>
        <w:jc w:val="both"/>
        <w:rPr>
          <w:rFonts w:cs="Calibri"/>
        </w:rPr>
      </w:pPr>
      <w:r>
        <w:rPr>
          <w:rFonts w:cs="Calibri"/>
        </w:rPr>
        <w:t>Страны должны разрабатывать свои законы с таким расчетом, чтобы они допускали взаимную правовую помощь в интересах сотрудничества со странами, расследующими случаи подкупа должностных лиц иностранных государств, включая третьи страны (страны оферента, страны, где произошло преступление) и страны, применяющие различные типы криминализационного законодательства, в интересах охвата таких случаев.</w:t>
      </w:r>
    </w:p>
    <w:p w:rsidR="005519F6" w:rsidRDefault="005519F6">
      <w:pPr>
        <w:widowControl w:val="0"/>
        <w:autoSpaceDE w:val="0"/>
        <w:autoSpaceDN w:val="0"/>
        <w:adjustRightInd w:val="0"/>
        <w:spacing w:after="0" w:line="240" w:lineRule="auto"/>
        <w:ind w:firstLine="540"/>
        <w:jc w:val="both"/>
        <w:rPr>
          <w:rFonts w:cs="Calibri"/>
        </w:rPr>
      </w:pPr>
      <w:r>
        <w:rPr>
          <w:rFonts w:cs="Calibri"/>
        </w:rPr>
        <w:t>Следует исследовать вопрос о средствах, которые можно было бы использовать для улучшения эффективности взаимной правовой помощи.</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jc w:val="center"/>
        <w:outlineLvl w:val="0"/>
        <w:rPr>
          <w:rFonts w:cs="Calibri"/>
          <w:b/>
          <w:bCs/>
        </w:rPr>
      </w:pPr>
      <w:bookmarkStart w:id="71" w:name="Par521"/>
      <w:bookmarkEnd w:id="71"/>
      <w:r>
        <w:rPr>
          <w:rFonts w:cs="Calibri"/>
          <w:b/>
          <w:bCs/>
        </w:rPr>
        <w:t>РЕКОМЕНДАЦИИ</w:t>
      </w:r>
    </w:p>
    <w:p w:rsidR="005519F6" w:rsidRDefault="005519F6">
      <w:pPr>
        <w:widowControl w:val="0"/>
        <w:autoSpaceDE w:val="0"/>
        <w:autoSpaceDN w:val="0"/>
        <w:adjustRightInd w:val="0"/>
        <w:spacing w:after="0" w:line="240" w:lineRule="auto"/>
        <w:jc w:val="center"/>
        <w:rPr>
          <w:rFonts w:cs="Calibri"/>
          <w:b/>
          <w:bCs/>
        </w:rPr>
      </w:pPr>
      <w:r>
        <w:rPr>
          <w:rFonts w:cs="Calibri"/>
          <w:b/>
          <w:bCs/>
        </w:rPr>
        <w:t>СОВЕТА ПО ВЫЧИТАЕМОСТИ СУММ ВЗЯТОК ДОЛЖНОСТНЫМ ЛИЦАМ</w:t>
      </w:r>
    </w:p>
    <w:p w:rsidR="005519F6" w:rsidRDefault="005519F6">
      <w:pPr>
        <w:widowControl w:val="0"/>
        <w:autoSpaceDE w:val="0"/>
        <w:autoSpaceDN w:val="0"/>
        <w:adjustRightInd w:val="0"/>
        <w:spacing w:after="0" w:line="240" w:lineRule="auto"/>
        <w:jc w:val="center"/>
        <w:rPr>
          <w:rFonts w:cs="Calibri"/>
          <w:b/>
          <w:bCs/>
        </w:rPr>
      </w:pPr>
      <w:r>
        <w:rPr>
          <w:rFonts w:cs="Calibri"/>
          <w:b/>
          <w:bCs/>
        </w:rPr>
        <w:t>ИНОСТРАННЫХ ГОСУДАРСТВ ИЗ СУММЫ НАЛОГООБЛАГАЕМОГО ДОХОДА</w:t>
      </w:r>
    </w:p>
    <w:p w:rsidR="005519F6" w:rsidRDefault="005519F6">
      <w:pPr>
        <w:widowControl w:val="0"/>
        <w:autoSpaceDE w:val="0"/>
        <w:autoSpaceDN w:val="0"/>
        <w:adjustRightInd w:val="0"/>
        <w:spacing w:after="0" w:line="240" w:lineRule="auto"/>
        <w:jc w:val="center"/>
        <w:rPr>
          <w:rFonts w:cs="Calibri"/>
          <w:b/>
          <w:bCs/>
        </w:rPr>
      </w:pPr>
    </w:p>
    <w:p w:rsidR="005519F6" w:rsidRDefault="005519F6">
      <w:pPr>
        <w:widowControl w:val="0"/>
        <w:autoSpaceDE w:val="0"/>
        <w:autoSpaceDN w:val="0"/>
        <w:adjustRightInd w:val="0"/>
        <w:spacing w:after="0" w:line="240" w:lineRule="auto"/>
        <w:jc w:val="center"/>
        <w:rPr>
          <w:rFonts w:cs="Calibri"/>
          <w:b/>
          <w:bCs/>
        </w:rPr>
      </w:pPr>
      <w:r>
        <w:rPr>
          <w:rFonts w:cs="Calibri"/>
          <w:b/>
          <w:bCs/>
        </w:rPr>
        <w:t>(11 апреля 1996 года)</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Совет,</w:t>
      </w:r>
    </w:p>
    <w:p w:rsidR="005519F6" w:rsidRDefault="005519F6">
      <w:pPr>
        <w:widowControl w:val="0"/>
        <w:autoSpaceDE w:val="0"/>
        <w:autoSpaceDN w:val="0"/>
        <w:adjustRightInd w:val="0"/>
        <w:spacing w:after="0" w:line="240" w:lineRule="auto"/>
        <w:ind w:firstLine="540"/>
        <w:jc w:val="both"/>
        <w:rPr>
          <w:rFonts w:cs="Calibri"/>
        </w:rPr>
      </w:pPr>
      <w:r>
        <w:rPr>
          <w:rFonts w:cs="Calibri"/>
        </w:rPr>
        <w:t>учитывая положения статьи 5 "b" Конвенции о создании Организации экономического сотрудничества и развития от 14 декабря 1960 года;</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учитывая </w:t>
      </w:r>
      <w:hyperlink w:anchor="Par373" w:history="1">
        <w:r>
          <w:rPr>
            <w:rFonts w:cs="Calibri"/>
            <w:color w:val="0000FF"/>
          </w:rPr>
          <w:t>Рекомендации</w:t>
        </w:r>
      </w:hyperlink>
      <w:r>
        <w:rPr>
          <w:rFonts w:cs="Calibri"/>
        </w:rPr>
        <w:t xml:space="preserve"> Совета ОЭСР в отношении взяточничества в международных деловых операциях [С(94)75/FINAL];</w:t>
      </w:r>
    </w:p>
    <w:p w:rsidR="005519F6" w:rsidRDefault="005519F6">
      <w:pPr>
        <w:widowControl w:val="0"/>
        <w:autoSpaceDE w:val="0"/>
        <w:autoSpaceDN w:val="0"/>
        <w:adjustRightInd w:val="0"/>
        <w:spacing w:after="0" w:line="240" w:lineRule="auto"/>
        <w:ind w:firstLine="540"/>
        <w:jc w:val="both"/>
        <w:rPr>
          <w:rFonts w:cs="Calibri"/>
        </w:rPr>
      </w:pPr>
      <w:r>
        <w:rPr>
          <w:rFonts w:cs="Calibri"/>
        </w:rPr>
        <w:t>учитывая, что взяточничество получило широкое распространение при осуществлении международных деловых операций, в том числе в сфере инвестиций и торговли, в связи с чем возникают серьезные моральные и политические проблемы, а также происходит искажение условий международной конкуренции;</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учитывая то, что </w:t>
      </w:r>
      <w:hyperlink w:anchor="Par373" w:history="1">
        <w:r>
          <w:rPr>
            <w:rFonts w:cs="Calibri"/>
            <w:color w:val="0000FF"/>
          </w:rPr>
          <w:t>Рекомендации</w:t>
        </w:r>
      </w:hyperlink>
      <w:r>
        <w:rPr>
          <w:rFonts w:cs="Calibri"/>
        </w:rPr>
        <w:t xml:space="preserve"> Совета в отношении взяточничества содержат призыв к странам - членам ОЭСР принять конкретные и действенные меры для борьбы со взяточничеством в международных деловых операциях, включая исследование налоговых мер, которые могут косвенным образом способствовать взяточничеству;</w:t>
      </w:r>
    </w:p>
    <w:p w:rsidR="005519F6" w:rsidRDefault="005519F6">
      <w:pPr>
        <w:widowControl w:val="0"/>
        <w:autoSpaceDE w:val="0"/>
        <w:autoSpaceDN w:val="0"/>
        <w:adjustRightInd w:val="0"/>
        <w:spacing w:after="0" w:line="240" w:lineRule="auto"/>
        <w:ind w:firstLine="540"/>
        <w:jc w:val="both"/>
        <w:rPr>
          <w:rFonts w:cs="Calibri"/>
        </w:rPr>
      </w:pPr>
      <w:r>
        <w:rPr>
          <w:rFonts w:cs="Calibri"/>
        </w:rPr>
        <w:t>по предложению Комитета по бюджетно-налоговым вопросам и Комитета по международным инвестициям и многонациональным предприятиям:</w:t>
      </w:r>
    </w:p>
    <w:p w:rsidR="005519F6" w:rsidRDefault="005519F6">
      <w:pPr>
        <w:widowControl w:val="0"/>
        <w:autoSpaceDE w:val="0"/>
        <w:autoSpaceDN w:val="0"/>
        <w:adjustRightInd w:val="0"/>
        <w:spacing w:after="0" w:line="240" w:lineRule="auto"/>
        <w:ind w:firstLine="540"/>
        <w:jc w:val="both"/>
        <w:rPr>
          <w:rFonts w:cs="Calibri"/>
        </w:rPr>
      </w:pPr>
      <w:r>
        <w:rPr>
          <w:rFonts w:cs="Calibri"/>
        </w:rPr>
        <w:t>I. Рекомендует, чтобы те страны, которые не запрещают вычитать суммы взяток должностным лицам иностранных государств из суммы налогооблагаемого дохода, пересмотрели такой налоговый режим, имея в виду отмену такого положения. Подобные действия могут поощряться тенденцией рассматривать взятки должностным лицам иностранных государств как противоречащие закону.</w:t>
      </w:r>
    </w:p>
    <w:p w:rsidR="005519F6" w:rsidRDefault="005519F6">
      <w:pPr>
        <w:widowControl w:val="0"/>
        <w:autoSpaceDE w:val="0"/>
        <w:autoSpaceDN w:val="0"/>
        <w:adjustRightInd w:val="0"/>
        <w:spacing w:after="0" w:line="240" w:lineRule="auto"/>
        <w:ind w:firstLine="540"/>
        <w:jc w:val="both"/>
        <w:rPr>
          <w:rFonts w:cs="Calibri"/>
        </w:rPr>
      </w:pPr>
      <w:r>
        <w:rPr>
          <w:rFonts w:cs="Calibri"/>
        </w:rPr>
        <w:t xml:space="preserve">II. Поручает Комитету по бюджетно-налоговым вопросам в сотрудничестве с Комитетом по международным инвестициям и многонациональным предприятиям осуществлять текущий контроль за исполнением этих </w:t>
      </w:r>
      <w:hyperlink w:anchor="Par373" w:history="1">
        <w:r>
          <w:rPr>
            <w:rFonts w:cs="Calibri"/>
            <w:color w:val="0000FF"/>
          </w:rPr>
          <w:t>Рекомендаций</w:t>
        </w:r>
      </w:hyperlink>
      <w:r>
        <w:rPr>
          <w:rFonts w:cs="Calibri"/>
        </w:rPr>
        <w:t>, продвигать Рекомендации в контексте контактов со странами, не входящими в ОЭСР, а также докладывать об этом Комитету по мере необходимости.</w:t>
      </w: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rPr>
          <w:rFonts w:cs="Calibri"/>
        </w:rPr>
      </w:pPr>
    </w:p>
    <w:p w:rsidR="005519F6" w:rsidRPr="005519F6" w:rsidRDefault="005519F6">
      <w:pPr>
        <w:widowControl w:val="0"/>
        <w:autoSpaceDE w:val="0"/>
        <w:autoSpaceDN w:val="0"/>
        <w:adjustRightInd w:val="0"/>
        <w:spacing w:after="0" w:line="240" w:lineRule="auto"/>
        <w:jc w:val="center"/>
        <w:outlineLvl w:val="0"/>
        <w:rPr>
          <w:rFonts w:cs="Calibri"/>
          <w:b/>
          <w:bCs/>
          <w:lang w:val="en-US"/>
        </w:rPr>
      </w:pPr>
      <w:bookmarkStart w:id="72" w:name="Par540"/>
      <w:bookmarkEnd w:id="72"/>
      <w:r w:rsidRPr="005519F6">
        <w:rPr>
          <w:rFonts w:cs="Calibri"/>
          <w:b/>
          <w:bCs/>
          <w:lang w:val="en-US"/>
        </w:rPr>
        <w:lastRenderedPageBreak/>
        <w:t>CONVENTION</w:t>
      </w: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ON COMBATING BRIBERY OF FOREIGN PUBLIC OFFICIALS</w:t>
      </w: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IN INTERNATIONAL BUSINESS TRANSACTIONS</w:t>
      </w:r>
    </w:p>
    <w:p w:rsidR="005519F6" w:rsidRPr="005519F6" w:rsidRDefault="005519F6">
      <w:pPr>
        <w:widowControl w:val="0"/>
        <w:autoSpaceDE w:val="0"/>
        <w:autoSpaceDN w:val="0"/>
        <w:adjustRightInd w:val="0"/>
        <w:spacing w:after="0" w:line="240" w:lineRule="auto"/>
        <w:jc w:val="center"/>
        <w:rPr>
          <w:rFonts w:cs="Calibri"/>
          <w:b/>
          <w:bCs/>
          <w:lang w:val="en-US"/>
        </w:rPr>
      </w:pP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(Paris, 17.XII.1997)</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73" w:name="Par546"/>
      <w:bookmarkEnd w:id="73"/>
      <w:r w:rsidRPr="005519F6">
        <w:rPr>
          <w:rFonts w:cs="Calibri"/>
          <w:lang w:val="en-US"/>
        </w:rPr>
        <w:t>Preamble</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The Parties,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Considering that bribery is a widespread phenomenon in international business transactions, including trade and investment, which raises serious moral and political concerns, undermines good governance and economic development, and distorts international competitive conditions;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Considering that all countries share a responsibility to combat bribery in international business transactions;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Having regard to the Revised Recommendation on Combating Bribery in International Business Transactions, adopted by the Council of the Organisation for Economic Co-operation and Development (OECD) on 23 May 1997, C(97)123/FINAL, which, inter alia, called for effective measures to deter, prevent and combat the bribery of foreign public officials in connection with international business transactions, in particular the prompt criminalisation of such bribery in an effective and co-ordinated manner and in conformity with the agreed common elements set out in that Recommendation and with the jurisdictional and other basic legal principles of each country;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Welcoming other recent developments which further advance international understanding and co-operation in combating bribery of public officials, including actions of the United Nations, the World Bank, the International Monetary Fund, the World Trade Organisation, the Organisation of American States, the Council of Europe and the European Union;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Welcoming the efforts of companies, business organisations and trade unions as well as other non-governmental organisations to combat bribery;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Recognising the role of governments in the prevention of solicitation of bribes from individuals and enterprises in international business transactions;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Recognising that achieving progress in this field requires not only efforts on a national level but also multilateral co-operation, monitoring and follow-up;</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Recognising that achieving equivalence among the measures to be taken by the Parties is an essential object and purpose of the Convention, which requires that the Convention be ratified without derogations affecting this equivalence;</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Have agreed as follows: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74" w:name="Par559"/>
      <w:bookmarkEnd w:id="74"/>
      <w:r w:rsidRPr="005519F6">
        <w:rPr>
          <w:rFonts w:cs="Calibri"/>
          <w:lang w:val="en-US"/>
        </w:rPr>
        <w:t>Article 1</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The Offence of Bribery of Foreign Public Officials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 Each Party shall take such measures as may be necessary to establish that it is a criminal offence under its law for any person intentionally to offer, promise or give any undue pecuniary or other advantage, whether directly or through intermediaries, to a foreign public official, for that official or for a third party, in order that the official act or refrain from acting in relation to the performance of official duties, in order to obtain or retain business or other improper advantage in the conduct of international business.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 Each Party shall take any measures necessary to establish that complicity in, including incitement, aiding and abetting, or authorisation of an act of bribery of a foreign public official shall be a criminal offence. Attempt and conspiracy to bribe a foreign public official shall be criminal offences to the same extent as attempt and conspiracy to bribe a public official of that Party.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 The offences set out in paragraphs 1 and 2 above are hereinafter referred to as "bribery of a foreign public official".</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4. For the purpose of this Convention: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 xml:space="preserve">a. "foreign public official" means any person holding a legislative, administrative or judicial office </w:t>
      </w:r>
      <w:r w:rsidRPr="005519F6">
        <w:rPr>
          <w:rFonts w:cs="Calibri"/>
          <w:lang w:val="en-US"/>
        </w:rPr>
        <w:lastRenderedPageBreak/>
        <w:t>of a foreign country, whether appointed or elected; any person exercising a public function for a foreign country, including for a public agency or public enterprise; and any official or agent of a public international organisation;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b. "foreign country" includes all levels and subdivisions of government, from national to local;</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 "act or refrain from acting in relation to the performance of official duties" includes any use of the public official's position, whether or not within the official's authorised competence.</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75" w:name="Par571"/>
      <w:bookmarkEnd w:id="75"/>
      <w:r w:rsidRPr="005519F6">
        <w:rPr>
          <w:rFonts w:cs="Calibri"/>
          <w:lang w:val="en-US"/>
        </w:rPr>
        <w:t>Article 2</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Responsibility of Legal Persons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Each Party shall take such measures as may be necessary, in accordance with its legal principles, to establish the liability of legal persons for the bribery of a foreign public official.</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76" w:name="Par577"/>
      <w:bookmarkEnd w:id="76"/>
      <w:r w:rsidRPr="005519F6">
        <w:rPr>
          <w:rFonts w:cs="Calibri"/>
          <w:lang w:val="en-US"/>
        </w:rPr>
        <w:t>Article 3</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Sanctions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 The bribery of a foreign public official shall be punishable by effective, proportionate and dissuasive criminal penalties. The range of penalties shall be comparable to that applicable to the bribery of the Party's own public officials and shall, in the case of natural persons, include deprivation of liberty sufficient to enable effective mutual legal assistance and extradition.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 In the event that, under the legal system of a Party, criminal responsibility is not applicable to legal persons, that Party shall ensure that legal persons shall be subject to effective, proportionate and dissuasive non-criminal sanctions, including monetary sanctions, for bribery of foreign public officials.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 Each Party shall take such measures as may be necessary to provide that the bribe and the proceeds of the bribery of a foreign public official, or property the value of which corresponds to that of such proceeds, are subject to seizure and confiscation or that monetary sanctions of comparable effect are applicable.</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4. Each Party shall consider the imposition of additional civil or administrative sanctions upon a person subject to sanctions for the bribery of a foreign public official.</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77" w:name="Par586"/>
      <w:bookmarkEnd w:id="77"/>
      <w:r w:rsidRPr="005519F6">
        <w:rPr>
          <w:rFonts w:cs="Calibri"/>
          <w:lang w:val="en-US"/>
        </w:rPr>
        <w:t>Article 4</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Jurisdiction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 Each Party shall take such measures as may be necessary to establish its jurisdiction over the bribery of a foreign public official when the offence is committed in whole or in part in its territory.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 Each Party which has jurisdiction to prosecute its nationals for offences committed abroad shall take such measures as may be necessary to establish its jurisdiction to do so in respect of the bribery of a foreign public official, according to the same principles.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 When more than one Party has jurisdiction over an alleged offence described in this Convention, the Parties involved shall, at the request of one of them, consult with a view to determining the most appropriate jurisdiction for prosecution.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4. Each Party shall review whether its current basis for jurisdiction is effective in the fight against the bribery of foreign public officials and, if it is not, shall take remedial steps.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78" w:name="Par595"/>
      <w:bookmarkEnd w:id="78"/>
      <w:r w:rsidRPr="005519F6">
        <w:rPr>
          <w:rFonts w:cs="Calibri"/>
          <w:lang w:val="en-US"/>
        </w:rPr>
        <w:t>Article 5</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Enforcement</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 xml:space="preserve">Investigation and prosecution of the bribery of a foreign public official shall be subject to the applicable rules and principles of each Party. They shall not be influenced by considerations of national economic interest, the potential effect upon relations with another State or the identity of the natural </w:t>
      </w:r>
      <w:r w:rsidRPr="005519F6">
        <w:rPr>
          <w:rFonts w:cs="Calibri"/>
          <w:lang w:val="en-US"/>
        </w:rPr>
        <w:lastRenderedPageBreak/>
        <w:t>or legal persons involved.</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79" w:name="Par601"/>
      <w:bookmarkEnd w:id="79"/>
      <w:r w:rsidRPr="005519F6">
        <w:rPr>
          <w:rFonts w:cs="Calibri"/>
          <w:lang w:val="en-US"/>
        </w:rPr>
        <w:t>Article 6</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Statute of Limitations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Any statute of limitations applicable to the offence of bribery of a foreign public official shall allow an adequate period of time for the investigation and prosecution of this offence.</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80" w:name="Par607"/>
      <w:bookmarkEnd w:id="80"/>
      <w:r w:rsidRPr="005519F6">
        <w:rPr>
          <w:rFonts w:cs="Calibri"/>
          <w:lang w:val="en-US"/>
        </w:rPr>
        <w:t>Article 7</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Money Laundering</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Each Party which has made bribery of its own public official a predicate offence for the purpose of the application of its money laundering legislation shall do so on the same terms for the bribery of a foreign public official, without regard to the place where the bribery occurred.</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81" w:name="Par613"/>
      <w:bookmarkEnd w:id="81"/>
      <w:r w:rsidRPr="005519F6">
        <w:rPr>
          <w:rFonts w:cs="Calibri"/>
          <w:lang w:val="en-US"/>
        </w:rPr>
        <w:t>Article 8</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Accounting</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 In order to combat bribery of foreign public officials effectively, each Party shall take such measures as may be necessary, within the framework of its laws and regulations regarding the maintenance of books and records, financial statement disclosures, and accounting and auditing standards, to prohibit the establishment of off-the-books accounts, the making of off-the-books or inadequately identified transactions, the recording of non-existent expenditures, the entry of liabilities with incorrect identification of their object, as well as the use of false documents, by companies subject to those laws and regulations, for the purpose of bribing foreign public officials or of hiding such bribery.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 Each Party shall provide effective, proportionate and dissuasive civil, administrative or criminal penalties for such omissions and falsifications in respect of the books, records, accounts and financial statements of such companies.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82" w:name="Par620"/>
      <w:bookmarkEnd w:id="82"/>
      <w:r w:rsidRPr="005519F6">
        <w:rPr>
          <w:rFonts w:cs="Calibri"/>
          <w:lang w:val="en-US"/>
        </w:rPr>
        <w:t>Article 9</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Mutual Legal Assistance</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 Each Party shall, to the fullest extent possible under its laws and relevant treaties and arrangements, provide prompt and effective legal assistance to another Party for the purpose of criminal investigations and proceedings brought by a Party concerning offences within the scope of this Convention and for non-criminal proceedings within the scope of this Convention brought by a Party against a legal person. The requested Party shall inform the requesting Party, without delay, of any additional information or documents needed to support the request for assistance and, where requested, of the status and outcome of the request for assistance.</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 Where a Party makes mutual legal assistance conditional upon the existence of dual criminality, dual criminality shall be deemed to exist if the offence for which the assistance is sought is within the scope of this Convention.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 A Party shall not decline to render mutual legal assistance for criminal matters within the scope of this Convention on the ground of bank secrecy.</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83" w:name="Par628"/>
      <w:bookmarkEnd w:id="83"/>
      <w:r w:rsidRPr="005519F6">
        <w:rPr>
          <w:rFonts w:cs="Calibri"/>
          <w:lang w:val="en-US"/>
        </w:rPr>
        <w:t>Article 10</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Extradition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 xml:space="preserve">1. Bribery of a foreign public official shall be deemed to be included as an extraditable offence </w:t>
      </w:r>
      <w:r w:rsidRPr="005519F6">
        <w:rPr>
          <w:rFonts w:cs="Calibri"/>
          <w:lang w:val="en-US"/>
        </w:rPr>
        <w:lastRenderedPageBreak/>
        <w:t>under the laws of the Parties and the extradition treaties between them.</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 If a Party which makes extradition conditional on the existence of an extradition treaty receives a request for extradition from another Party with which it has no extradition treaty, it may consider this Convention to be the legal basis for extradition in respect of the offence of bribery of a foreign public official.</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 Each Party shall take any measures necessary to assure either that it can extradite its nationals or that it can prosecute its nationals for the offence of bribery of a foreign public official. A Party which declines a request to extradite a person for bribery of a foreign public official solely on the ground that the person is its national shall submit the case to its competent authorities for the purpose of prosecution.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4. Extradition for bribery of a foreign public official is subject to the conditions set out in the domestic law and applicable treaties and arrangements of each Party. Where a Party makes extradition conditional upon the existence of dual criminality, that condition shall be deemed to be fulfilled if the offence for which extradition is sought is within the scope of Article 1 of this Convention.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84" w:name="Par637"/>
      <w:bookmarkEnd w:id="84"/>
      <w:r w:rsidRPr="005519F6">
        <w:rPr>
          <w:rFonts w:cs="Calibri"/>
          <w:lang w:val="en-US"/>
        </w:rPr>
        <w:t>Article 11</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Responsible Authorities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For the purposes of Article 4, paragraph 3, on consultation, Article 9, on mutual legal assistance and Article 10, on extradition, each Party shall notify to the Secretary-General of the OECD an authority or authorities responsible for making and receiving requests, which shall serve as channel of communication for these matters for that Party, without prejudice to other arrangements between Parties.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85" w:name="Par643"/>
      <w:bookmarkEnd w:id="85"/>
      <w:r w:rsidRPr="005519F6">
        <w:rPr>
          <w:rFonts w:cs="Calibri"/>
          <w:lang w:val="en-US"/>
        </w:rPr>
        <w:t>Article 12</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Monitoring and Follow-up</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The Parties shall co-operate in carrying out a programme of systematic follow-up to monitor and promote the full implementation of this Convention. Unless otherwise decided by consensus of the Parties, this shall be done in the framework of the OECD Working Group on Bribery in International Business Transactions and according to its terms of reference, or within the framework and terms of reference of any successor to its functions, and Parties shall bear the costs of the programme in accordance with the rules applicable to that body.</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86" w:name="Par649"/>
      <w:bookmarkEnd w:id="86"/>
      <w:r w:rsidRPr="005519F6">
        <w:rPr>
          <w:rFonts w:cs="Calibri"/>
          <w:lang w:val="en-US"/>
        </w:rPr>
        <w:t>Article 13</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Signature and Accession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 Until its entry into force, this Convention shall be open for signature by OECD members and by non-members which have been invited to become full participants in its Working Group on Bribery in International Business Transactions.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 Subsequent to its entry into force, this Convention shall be open to accession by any non-signatory which is a member of the OECD or has become a full participant in the Working Group on Bribery in International Business Transactions or any successor to its functions. For each such non-signatory, the Convention shall enter into force on the sixtieth day following the date of deposit of its instrument of accession.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87" w:name="Par656"/>
      <w:bookmarkEnd w:id="87"/>
      <w:r w:rsidRPr="005519F6">
        <w:rPr>
          <w:rFonts w:cs="Calibri"/>
          <w:lang w:val="en-US"/>
        </w:rPr>
        <w:t>Article 14</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Ratification and Depositary</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 xml:space="preserve">1. This Convention is subject to acceptance, approval or ratification by the Signatories, in </w:t>
      </w:r>
      <w:r w:rsidRPr="005519F6">
        <w:rPr>
          <w:rFonts w:cs="Calibri"/>
          <w:lang w:val="en-US"/>
        </w:rPr>
        <w:lastRenderedPageBreak/>
        <w:t>accordance with their respective laws.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 Instruments of acceptance, approval, ratification or accession shall be deposited with the Secretary-General of the OECD, who shall serve as Depositary of this Convention.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88" w:name="Par663"/>
      <w:bookmarkEnd w:id="88"/>
      <w:r w:rsidRPr="005519F6">
        <w:rPr>
          <w:rFonts w:cs="Calibri"/>
          <w:lang w:val="en-US"/>
        </w:rPr>
        <w:t>Article 15</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Entry into Force</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 This Convention shall enter into force on the sixtieth day following the date upon which five of the ten countries which have the ten largest export shares set out in the annexed document, and which represent by themselves at least sixty per cent of the combined total exports of those ten countries, have deposited their instruments of acceptance, approval, or ratification. For each signatory depositing its instrument after such entry into force, the Convention shall enter into force on the sixtieth day after deposit of its instrument.</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 If, after 31 December 1998, the Convention has not entered into force under paragraph 1 above, any Signatory which has deposited its instrument of acceptance, approval or ratification may declare in writing to the Depositary its readiness to accept entry into force of this Convention under this paragraph 2. The Convention shall enter into force for such a Signatory on the sixtieth day following the date upon which such declarations have been deposited by at least two Signatories. For each Signatory depositing its declaration after such entry into force, the Convention shall enter into force on the sixtieth day following the date of deposit.</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89" w:name="Par670"/>
      <w:bookmarkEnd w:id="89"/>
      <w:r w:rsidRPr="005519F6">
        <w:rPr>
          <w:rFonts w:cs="Calibri"/>
          <w:lang w:val="en-US"/>
        </w:rPr>
        <w:t>Article 16</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Amendment</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Any Party may propose the amendment of this Convention. A proposed amendment shall be submitted to the Depositary which shall communicate it to the other Parties at least sixty days before convening a meeting of the Parties to consider the proposed amendment. An amendment adopted by consensus of the Parties, or by such other means as the Parties may determine by consensus, shall enter into force sixty days after the deposit of an instrument of ratification, acceptance or approval by all of the Parties, or in such other circumstances as may be specified by the Parties at the time of adoption of the amendment.</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90" w:name="Par676"/>
      <w:bookmarkEnd w:id="90"/>
      <w:r w:rsidRPr="005519F6">
        <w:rPr>
          <w:rFonts w:cs="Calibri"/>
          <w:lang w:val="en-US"/>
        </w:rPr>
        <w:t>Article 17</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Withdrawal</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A Party may withdraw from this Convention by submitting written notification to the Depositary. Such withdrawal shall be effective one year after the date of the receipt of the notification. After withdrawal, co-operation shall continue between the Parties and the Party which has withdrawn on all requests for assistance or extradition made before the effective date of withdrawal which remain pending.</w:t>
      </w:r>
    </w:p>
    <w:p w:rsidR="005519F6" w:rsidRPr="005519F6" w:rsidRDefault="005519F6">
      <w:pPr>
        <w:widowControl w:val="0"/>
        <w:autoSpaceDE w:val="0"/>
        <w:autoSpaceDN w:val="0"/>
        <w:adjustRightInd w:val="0"/>
        <w:spacing w:after="0" w:line="240" w:lineRule="auto"/>
        <w:ind w:firstLine="540"/>
        <w:jc w:val="both"/>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Done in Paris this seventeenth day of December, Nineteen Hundred and Ninety-Seven in the French and English languages, each text being equally authentic.</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right"/>
        <w:outlineLvl w:val="0"/>
        <w:rPr>
          <w:rFonts w:cs="Calibri"/>
          <w:lang w:val="en-US"/>
        </w:rPr>
      </w:pPr>
      <w:bookmarkStart w:id="91" w:name="Par688"/>
      <w:bookmarkEnd w:id="91"/>
      <w:r w:rsidRPr="005519F6">
        <w:rPr>
          <w:rFonts w:cs="Calibri"/>
          <w:lang w:val="en-US"/>
        </w:rPr>
        <w:t>Annex</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DAFFE/IME/BR(97)18/FINAL</w:t>
      </w:r>
    </w:p>
    <w:p w:rsidR="005519F6" w:rsidRPr="005519F6" w:rsidRDefault="005519F6">
      <w:pPr>
        <w:widowControl w:val="0"/>
        <w:autoSpaceDE w:val="0"/>
        <w:autoSpaceDN w:val="0"/>
        <w:adjustRightInd w:val="0"/>
        <w:spacing w:after="0" w:line="240" w:lineRule="auto"/>
        <w:jc w:val="center"/>
        <w:rPr>
          <w:rFonts w:cs="Calibri"/>
          <w:b/>
          <w:bCs/>
          <w:lang w:val="en-US"/>
        </w:rPr>
      </w:pP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STATISTICS ON OECD EXPORTS</w:t>
      </w:r>
    </w:p>
    <w:p w:rsidR="005519F6" w:rsidRPr="005519F6" w:rsidRDefault="005519F6">
      <w:pPr>
        <w:widowControl w:val="0"/>
        <w:autoSpaceDE w:val="0"/>
        <w:autoSpaceDN w:val="0"/>
        <w:adjustRightInd w:val="0"/>
        <w:spacing w:after="0" w:line="240" w:lineRule="auto"/>
        <w:rPr>
          <w:rFonts w:cs="Calibri"/>
          <w:lang w:val="en-US"/>
        </w:rPr>
      </w:pPr>
    </w:p>
    <w:tbl>
      <w:tblPr>
        <w:tblW w:w="0" w:type="auto"/>
        <w:tblCellSpacing w:w="5" w:type="nil"/>
        <w:tblInd w:w="-10" w:type="dxa"/>
        <w:tblLayout w:type="fixed"/>
        <w:tblCellMar>
          <w:left w:w="75" w:type="dxa"/>
          <w:right w:w="75" w:type="dxa"/>
        </w:tblCellMar>
        <w:tblLook w:val="0000" w:firstRow="0" w:lastRow="0" w:firstColumn="0" w:lastColumn="0" w:noHBand="0" w:noVBand="0"/>
      </w:tblPr>
      <w:tblGrid>
        <w:gridCol w:w="2640"/>
        <w:gridCol w:w="1560"/>
        <w:gridCol w:w="2040"/>
        <w:gridCol w:w="2040"/>
      </w:tblGrid>
      <w:tr w:rsidR="005519F6" w:rsidRPr="00F031A6">
        <w:trPr>
          <w:tblCellSpacing w:w="5" w:type="nil"/>
        </w:trPr>
        <w:tc>
          <w:tcPr>
            <w:tcW w:w="6240" w:type="dxa"/>
            <w:gridSpan w:val="3"/>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lang w:val="en-US"/>
              </w:rPr>
              <w:t xml:space="preserve">                    </w:t>
            </w:r>
            <w:r w:rsidRPr="00F031A6">
              <w:rPr>
                <w:rFonts w:ascii="Courier New" w:hAnsi="Courier New" w:cs="Courier New"/>
                <w:sz w:val="20"/>
                <w:szCs w:val="20"/>
              </w:rPr>
              <w:t xml:space="preserve">OECD EXPORTS                </w:t>
            </w:r>
          </w:p>
        </w:tc>
        <w:tc>
          <w:tcPr>
            <w:tcW w:w="2040" w:type="dxa"/>
            <w:tcBorders>
              <w:top w:val="single" w:sz="8" w:space="0" w:color="auto"/>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1990 - 1996</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1990 - 1996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1990 - 1996  </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USD million</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       </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of Total OECD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of 10 largest </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United States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287118</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15,9%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19,7%</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Germany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254746</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14,1%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17,5%</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Japan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212665</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11,8%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14,6%</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France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138471</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7,7%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9,5%</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United Kingdom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121258</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6,7%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8,3%</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Italy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112449</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6,2%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7,7%</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Canada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91215</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5,1%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6,3%</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Korea (1)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81364</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4,5%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5,6%</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Netherlands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81264</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4,5%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5,6%</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Belgium - Luxembourg</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78598</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4,4%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5,4%</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Total 10 largest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1459148</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81,0%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100%</w:t>
            </w: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Spain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42469</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2,4%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Switzerland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40395</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2,2%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Sweden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36710</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2,0%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Mexico (1)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34233</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1,9%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Australia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27194</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1,5%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Denmark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24145</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1,3%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Austria &lt;*&gt;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22432</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1,2%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Norway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21666</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1,2%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Ireland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19217</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1,1%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Finland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17296</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1,0%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Poland (1) &lt;**&gt;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12652</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0,7%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Portugal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10801</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0,6%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Turkey &lt;*&gt;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8027</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0,4%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Hungary &lt;**&gt;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6795</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0,4%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New Zealand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6663</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0,4%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Czech Republic &lt;***&gt;</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6263</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0,3%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Greece &lt;*&gt;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4606</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0,3%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Iceland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949</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0,1%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cs="Calibri"/>
              </w:rPr>
            </w:pPr>
          </w:p>
        </w:tc>
      </w:tr>
      <w:tr w:rsidR="005519F6" w:rsidRPr="00F031A6">
        <w:trPr>
          <w:tblCellSpacing w:w="5" w:type="nil"/>
        </w:trPr>
        <w:tc>
          <w:tcPr>
            <w:tcW w:w="26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Total OECD          </w:t>
            </w:r>
          </w:p>
        </w:tc>
        <w:tc>
          <w:tcPr>
            <w:tcW w:w="156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1801661</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r w:rsidRPr="00F031A6">
              <w:rPr>
                <w:rFonts w:ascii="Courier New" w:hAnsi="Courier New" w:cs="Courier New"/>
                <w:sz w:val="20"/>
                <w:szCs w:val="20"/>
              </w:rPr>
              <w:t xml:space="preserve">         100%  </w:t>
            </w:r>
          </w:p>
        </w:tc>
        <w:tc>
          <w:tcPr>
            <w:tcW w:w="2040" w:type="dxa"/>
            <w:tcBorders>
              <w:left w:val="single" w:sz="8" w:space="0" w:color="auto"/>
              <w:bottom w:val="single" w:sz="8" w:space="0" w:color="auto"/>
              <w:right w:val="single" w:sz="8" w:space="0" w:color="auto"/>
            </w:tcBorders>
          </w:tcPr>
          <w:p w:rsidR="005519F6" w:rsidRPr="00F031A6" w:rsidRDefault="005519F6">
            <w:pPr>
              <w:widowControl w:val="0"/>
              <w:autoSpaceDE w:val="0"/>
              <w:autoSpaceDN w:val="0"/>
              <w:adjustRightInd w:val="0"/>
              <w:spacing w:after="0" w:line="240" w:lineRule="auto"/>
              <w:rPr>
                <w:rFonts w:ascii="Courier New" w:hAnsi="Courier New" w:cs="Courier New"/>
                <w:sz w:val="20"/>
                <w:szCs w:val="20"/>
              </w:rPr>
            </w:pPr>
          </w:p>
        </w:tc>
      </w:tr>
    </w:tbl>
    <w:p w:rsidR="005519F6" w:rsidRDefault="005519F6">
      <w:pPr>
        <w:widowControl w:val="0"/>
        <w:autoSpaceDE w:val="0"/>
        <w:autoSpaceDN w:val="0"/>
        <w:adjustRightInd w:val="0"/>
        <w:spacing w:after="0" w:line="240" w:lineRule="auto"/>
        <w:rPr>
          <w:rFonts w:cs="Calibri"/>
        </w:rPr>
      </w:pPr>
    </w:p>
    <w:p w:rsidR="005519F6" w:rsidRDefault="005519F6">
      <w:pPr>
        <w:widowControl w:val="0"/>
        <w:autoSpaceDE w:val="0"/>
        <w:autoSpaceDN w:val="0"/>
        <w:adjustRightInd w:val="0"/>
        <w:spacing w:after="0" w:line="240" w:lineRule="auto"/>
        <w:ind w:firstLine="540"/>
        <w:jc w:val="both"/>
        <w:rPr>
          <w:rFonts w:cs="Calibri"/>
        </w:rPr>
      </w:pPr>
      <w:r>
        <w:rPr>
          <w:rFonts w:cs="Calibri"/>
        </w:rPr>
        <w:t>Notes: &lt;*&gt; 1990 - 1995; &lt;**&gt; 1991 - 1996; &lt;***&gt; 1993 - 1996.</w:t>
      </w:r>
    </w:p>
    <w:p w:rsidR="005519F6" w:rsidRDefault="005519F6">
      <w:pPr>
        <w:widowControl w:val="0"/>
        <w:autoSpaceDE w:val="0"/>
        <w:autoSpaceDN w:val="0"/>
        <w:adjustRightInd w:val="0"/>
        <w:spacing w:after="0" w:line="240" w:lineRule="auto"/>
        <w:ind w:firstLine="540"/>
        <w:jc w:val="both"/>
        <w:rPr>
          <w:rFonts w:cs="Calibri"/>
        </w:rPr>
      </w:pPr>
      <w:r>
        <w:rPr>
          <w:rFonts w:cs="Calibri"/>
        </w:rPr>
        <w:t>Source: OECD, (1) IMF.</w:t>
      </w:r>
    </w:p>
    <w:p w:rsidR="005519F6" w:rsidRDefault="005519F6">
      <w:pPr>
        <w:widowControl w:val="0"/>
        <w:autoSpaceDE w:val="0"/>
        <w:autoSpaceDN w:val="0"/>
        <w:adjustRightInd w:val="0"/>
        <w:spacing w:after="0" w:line="240" w:lineRule="auto"/>
        <w:rPr>
          <w:rFonts w:cs="Calibri"/>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Concerning Belgium-Luxembourg: Trade statistics for Belgium and Luxembourg are available only on a combined basis for the two countries. For purposes of Article 15, paragraph 1 of the Convention, if either Belgium or Luxembourg deposits its instrument of acceptance, approval or ratification, or if both Belgium and Luxembourg deposit their instruments of acceptance, approval or ratification, it shall be considered that one of the countries which have the ten largest exports shares has deposited its instrument and the joint exports of both countries will be counted towards the 60 percent of combined total exports of those ten countries, which is required for entry into force under this provision.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0"/>
        <w:rPr>
          <w:rFonts w:cs="Calibri"/>
          <w:b/>
          <w:bCs/>
          <w:lang w:val="en-US"/>
        </w:rPr>
      </w:pPr>
      <w:bookmarkStart w:id="92" w:name="Par779"/>
      <w:bookmarkEnd w:id="92"/>
      <w:r w:rsidRPr="005519F6">
        <w:rPr>
          <w:rFonts w:cs="Calibri"/>
          <w:b/>
          <w:bCs/>
          <w:lang w:val="en-US"/>
        </w:rPr>
        <w:lastRenderedPageBreak/>
        <w:t>COMMENTARIES</w:t>
      </w: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ON THE CONVENTION ON COMBATING BRIBERY OF FOREIGN PUBLIC</w:t>
      </w: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OFFICIALS IN INTERNATIONAL BUSINESS TRANSACTIONS</w:t>
      </w:r>
    </w:p>
    <w:p w:rsidR="005519F6" w:rsidRPr="005519F6" w:rsidRDefault="005519F6">
      <w:pPr>
        <w:widowControl w:val="0"/>
        <w:autoSpaceDE w:val="0"/>
        <w:autoSpaceDN w:val="0"/>
        <w:adjustRightInd w:val="0"/>
        <w:spacing w:after="0" w:line="240" w:lineRule="auto"/>
        <w:jc w:val="center"/>
        <w:rPr>
          <w:rFonts w:cs="Calibri"/>
          <w:b/>
          <w:bCs/>
          <w:lang w:val="en-US"/>
        </w:rPr>
      </w:pP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(21.XI.1997)</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93" w:name="Par785"/>
      <w:bookmarkEnd w:id="93"/>
      <w:r w:rsidRPr="005519F6">
        <w:rPr>
          <w:rFonts w:cs="Calibri"/>
          <w:lang w:val="en-US"/>
        </w:rPr>
        <w:t>General:</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 This Convention deals with what, in the law of some countries, is called "active corruption" or "active bribery", meaning the offence committed by the person who promises or gives the bribe, as contrasted with "passive bribery", the offence committed by the official who receives the bribe. The Convention does not utilise the term "active bribery" simply to avoid it being misread by the non-technical reader as implying that the briber has taken the initiative and the recipient is a passive victim. In fact, in a number of situations, the recipient will have induced or pressured the briber and will have been, in that sense, the more active.</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 This Convention seeks to assure a functional equivalence among the measures taken by the Parties to sanction bribery of foreign public officials, without requiring uniformity or changes in fundamental principles of a Party's legal system.</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94" w:name="Par790"/>
      <w:bookmarkEnd w:id="94"/>
      <w:r w:rsidRPr="005519F6">
        <w:rPr>
          <w:rFonts w:cs="Calibri"/>
          <w:lang w:val="en-US"/>
        </w:rPr>
        <w:t>Article 1</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The Offence of Bribery of Foreign Public Officials: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 paragraph 1:</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 Article 1 establishes a standard to be met by Parties, but does not require them to utilise its precise terms in defining the offence under their domestic laws. A Party may use various approaches to fulfil its obligations, provided that conviction of a person for the offence does not require proof of elements beyond those which would be required to be proved if the offence were defined as in this paragraph. For example, a statute prohibiting the bribery of agents generally which does not specifically address bribery of a foreign public official, and a statute specifically limited to this case, could both comply with this Article. Similarly, a statute which defined the offence in terms of payments "to induce a breach of the official's duty" could meet the standard provided that it was understood that every public official had a duty to exercise judgement or discretion impartially and this was an "autonomous" definition not requiring proof of the law of the particular official's country.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4. It is an offence within the meaning of paragraph 1 to bribe to obtain or retain business or other improper advantage whether or not the company concerned was the best qualified bidder or was otherwise a company which could properly have been awarded the business.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5. "Other improper advantage" refers to something to which the company concerned was not clearly entitled, for example, an operating permit for a factory which fails to meet the statutory requirements.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6. The conduct described in paragraph 1 is an offence whether the offer or promise is made or the pecuniary or other advantage is given on that person's own behalf or on behalf of any other natural person or legal entity.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7. It is also an offence irrespective of, inter alia, the value of the advantage, its results, perceptions of local custom, the tolerance of such payments by local authorities, or the alleged necessity of the payment in order to obtain or retain business or other improper advantage.</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8. It is not an offence, however, if the advantage was permitted or required by the written law or regulation of the foreign public official's country, including case law.</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 xml:space="preserve">9. Small "facilitation" payments do not constitute payments made "to obtain or retain business or other improper advantage" within the meaning of paragraph 1 and, accordingly, are also not an offence. Such payments, which, in some countries, are made to induce public officials to perform their functions, such as issuing licenses or permits, are generally illegal in the foreign country concerned. Other countries can and should address this corrosive phenomenon by such means as support for programmes of good governance. However, criminalisation by other countries does not seem a practical or effective </w:t>
      </w:r>
      <w:r w:rsidRPr="005519F6">
        <w:rPr>
          <w:rFonts w:cs="Calibri"/>
          <w:lang w:val="en-US"/>
        </w:rPr>
        <w:lastRenderedPageBreak/>
        <w:t>complementary action.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10. Under the legal system of some countries, an advantage promised or given to any person, in anticipation of his or her becoming a foreign public official, falls within the scope of the offences described in Article 1, paragraph 1 or 2. Under the legal system of many countries, it is considered technically distinct from the offences covered by the present Convention. However, there is a commonly shared concern and intent to address this phenomenon through further work.</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 paragraph 2:</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11. The offences set out in paragraph 2 are understood in terms of their normal content in national legal systems. Accordingly, if authorisation, incitement, or one of the other listed acts, which does not lead to further action, is not itself punishable under a Party's legal system, then the Party would not be required to make it punishable with respect to bribery of a foreign public official.</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 paragraph 4:</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12. "Public function" includes any activity in the public interest, delegated by a foreign country, such as the performance of a task delegated by it in connection with public procurement.</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13. A "public agency" is an entity constituted under public law to carry out specific tasks in the public interest.</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14. A "public enterprise" is any enterprise, regardless of its legal form, over which a government, or governments, may, directly or indirectly, exercise a dominant influence. This is deemed to be the case, inter alia, when the government or governments hold the majority of the enterprise's subscribed capital, control the majority of votes attaching to shares issued by the enterprise or can appoint a majority of the members of the enterprise's administrative or managerial body or supervisory board.</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15. An official of a public enterprise shall be deemed to perform a public function unless the enterprise operates on a normal commercial basis in the relevant market, i.e., on a basis which is substantially equivalent to that of a private enterprise, without preferential subsidies or other privileges.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16. In special circumstances, public authority may in fact be held by persons (e.g., political party officials in single party states) not formally designated as public officials. Such persons, through their de facto performance of a public function, may, under the legal principles of some countries, be considered to be foreign public officials.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17. "Public international organisation" includes any international organisation formed by states, governments, or other public international organisations, whatever the form of organisation and scope of competence, including, for example, a regional economic integration organisation such as the European Communities.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18. "Foreign country" is not limited to states, but includes any organised foreign area or entity, such as an autonomous territory or a separate customs territory.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19. One case of bribery which has been contemplated under the definition in paragraph 4.c is where an executive of a company gives a bribe to a senior official of a government, in order that this official use his office - though acting outside his competence - to make another official award a contract to that company.</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95" w:name="Par817"/>
      <w:bookmarkEnd w:id="95"/>
      <w:r w:rsidRPr="005519F6">
        <w:rPr>
          <w:rFonts w:cs="Calibri"/>
          <w:lang w:val="en-US"/>
        </w:rPr>
        <w:t>Article 2</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Responsibility of Legal Persons: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20. In the event that, under the legal system of a Party, criminal responsibility is not applicable to legal persons, that Party shall not be required to establish such criminal responsibility.</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96" w:name="Par823"/>
      <w:bookmarkEnd w:id="96"/>
      <w:r w:rsidRPr="005519F6">
        <w:rPr>
          <w:rFonts w:cs="Calibri"/>
          <w:lang w:val="en-US"/>
        </w:rPr>
        <w:t>Article 3</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Sanctions: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 paragraph 3:</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 xml:space="preserve">21. The "proceeds" of bribery are the profits or other benefits derived by the briber from the </w:t>
      </w:r>
      <w:r w:rsidRPr="005519F6">
        <w:rPr>
          <w:rFonts w:cs="Calibri"/>
          <w:lang w:val="en-US"/>
        </w:rPr>
        <w:lastRenderedPageBreak/>
        <w:t>transaction or other improper advantage obtained or retained through bribery.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22. The term "confiscation" includes forfeiture where applicable and means the permanent deprivation of property by order of a court or other competent authority. This paragraph is without prejudice to rights of victims.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23. Paragraph 3 does not preclude setting appropriate limits to monetary sanctions.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 paragraph 4:</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24. Among the civil or administrative sanctions, other than non-criminal fines, which might be imposed upon legal persons for an act of bribery of a foreign public official are: exclusion from entitlement to public benefits or aid; temporary or permanent disqualification from participation in public procurement or from the practice of other commercial activities; placing under judicial supervision; and a judicial winding-up order.</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97" w:name="Par835"/>
      <w:bookmarkEnd w:id="97"/>
      <w:r w:rsidRPr="005519F6">
        <w:rPr>
          <w:rFonts w:cs="Calibri"/>
          <w:lang w:val="en-US"/>
        </w:rPr>
        <w:t>Article 4</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Jurisdiction: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 paragraph 1:</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25. The territorial basis for jurisdiction should be interpreted broadly so that an extensive physical connection to the bribery act is not required.</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 paragraph 2:</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26. Nationality jurisdiction is to be established according to the general principles and conditions in the legal system of each Party. These principles deal with such matters as dual criminality. However, the requirement of dual criminality should be deemed to be met if the act is unlawful where it occurred, even if under a different criminal statute. For countries which apply nationality jurisdiction only to certain types of offences, the reference to "principles" includes the principles upon which such selection is based.</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98" w:name="Par845"/>
      <w:bookmarkEnd w:id="98"/>
      <w:r w:rsidRPr="005519F6">
        <w:rPr>
          <w:rFonts w:cs="Calibri"/>
          <w:lang w:val="en-US"/>
        </w:rPr>
        <w:t>Article 5</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Enforcement:</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27. Article 5 recognises the fundamental nature of national regimes of prosecutorial discretion. It recognises as well that, in order to protect the independence of prosecution, such discretion is to be exercised on the basis of professional motives and is not to be subject to improper influence by concerns of a political nature. Article 5 is complemented by paragraph 6 of the Annex to the 1997 OECD Revised Recommendation on Combating Bribery in International Business Transactions, C(97)123/FINAL (hereinafter, "1997 OECD Recommendation"), which recommends, inter alia, that complaints of bribery of foreign public officials should be seriously investigated by competent authorities and that adequate resources should be provided by national governments to permit effective prosecution of such bribery. Parties will have accepted this Recommendation, including its monitoring and follow-up arrangements.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99" w:name="Par851"/>
      <w:bookmarkEnd w:id="99"/>
      <w:r w:rsidRPr="005519F6">
        <w:rPr>
          <w:rFonts w:cs="Calibri"/>
          <w:lang w:val="en-US"/>
        </w:rPr>
        <w:t>Article 7</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Money Laundering:</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28. In Article 7, "bribery of its own public official" is intended broadly, so that bribery of a foreign public official is to be made a predicate offence for money laundering legislation on the same terms, when a Party has made either active or passive bribery of its own public official such an offence. When a Party has made only passive bribery of its own public officials a predicate offence for money laundering purposes, this article requires that the laundering of the bribe payment be subject to money laundering legislation.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100" w:name="Par857"/>
      <w:bookmarkEnd w:id="100"/>
      <w:r w:rsidRPr="005519F6">
        <w:rPr>
          <w:rFonts w:cs="Calibri"/>
          <w:lang w:val="en-US"/>
        </w:rPr>
        <w:lastRenderedPageBreak/>
        <w:t>Article 8</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Accounting:</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29. Article 8 is related to section V of the 1997 OECD Recommendation, which all Parties will have accepted and which is subject to follow-up in the OECD Working Group on Bribery in International Business Transactions. This paragraph contains a series of recommendations concerning accounting requirements, independent external audit and internal company controls the implementation of which will be important to the overall effectiveness of the fight against bribery in international business. However, one immediate consequence of the implementation of this Convention by the Parties will be that companies which are required to issue financial statements disclosing their material contingent liabilities will need to take into account the full potential liabilities under this Convention, in particular its Articles 3 and 8, as well as other losses which might flow from conviction of the company or its agents for bribery. This also has implications for the execution of professional responsibilities of auditors regarding indications of bribery of foreign public officials. In addition, the accounting offences referred to in Article 8 will generally occur in the company's home country, when the bribery offence itself may have been committed in another country, and this can fill gaps in the effective reach of the Convention.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101" w:name="Par863"/>
      <w:bookmarkEnd w:id="101"/>
      <w:r w:rsidRPr="005519F6">
        <w:rPr>
          <w:rFonts w:cs="Calibri"/>
          <w:lang w:val="en-US"/>
        </w:rPr>
        <w:t>Article 9</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Mutual Legal Assistance:</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30. Parties will have also accepted, through paragraph 8 of the Agreed Common Elements annexed to the 1997 OECD Recommendation, to explore and undertake means to improve the efficiency of mutual legal assistance.</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 paragraph 1:</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31. Within the framework of paragraph 1 of Article 9, Parties should, upon request, facilitate or encourage the presence or availability of persons, including persons in custody, who consent to assist in investigations or participate in proceedings. Parties should take measures to be able, in appropriate cases, to transfer temporarily such a person in custody to a Party requesting it and to credit time in custody in the requesting Party to the transferred person's sentence in the requested Party. The Parties wishing to use this mechanism should also take measures to be able, as a requesting Party, to keep a transferred person in custody and return this person without necessity of extradition proceedings.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 paragraph 2:</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32. Paragraph 2 addresses the issue of identity of norms in the concept of dual criminality. Parties with statutes as diverse as a statute prohibiting the bribery of agents generally and a statute directed specifically at bribery of foreign public officials should be able to co-operate fully regarding cases whose facts fall within the scope of the offences described in this Convention.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102" w:name="Par875"/>
      <w:bookmarkEnd w:id="102"/>
      <w:r w:rsidRPr="005519F6">
        <w:rPr>
          <w:rFonts w:cs="Calibri"/>
          <w:lang w:val="en-US"/>
        </w:rPr>
        <w:t>Article 10</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Extradition: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 paragraph 2:</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33. A Party may consider this Convention to be a legal basis for extradition if, for one or more categories of cases falling within this Convention, it requires an extradition treaty. For example, a country may consider it a basis for extradition of its nationals if it requires an extradition treaty for that category but does not require one for extradition of non-nationals.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103" w:name="Par882"/>
      <w:bookmarkEnd w:id="103"/>
      <w:r w:rsidRPr="005519F6">
        <w:rPr>
          <w:rFonts w:cs="Calibri"/>
          <w:lang w:val="en-US"/>
        </w:rPr>
        <w:t>Article 12</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Monitoring and Follow-up:</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34. The current terms of reference of the OECD Working Group on Bribery which are relevant to monitoring and follow-up are set out in Section VIII of the 1997 OECD Recommendation. They provide for:</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 receipt of notifications and other information submitted to it by the [participating] countries;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 regular reviews of steps taken by [participating] countries to implement the Recommendation and to make proposals, as appropriate, to assist [participating] countries in its implementation; these reviews will be based on the following complementary systems: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 a system of self evaluation, where [participating] countries' responses on the basis of a questionnaire will provide a basis for assessing the implementation of the Recommendation;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 a system of mutual evaluation, where each [participating] country will be examined in turn by the Working Group on Bribery, on the basis of a report which will provide an objective assessment of the progress of the [participating] country in implementing the Recommendation.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iii) examination of specific issues relating to bribery in international business transactions;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v) provision of regular information to the public on its work and activities and on implementation of the Recommendation.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35. The costs of monitoring and follow-up will, for OECD Members, be handled through the normal OECD budget process. For non-members of the OECD, the current rules create an equivalent system of cost sharing, which is described in the Resolution of the Council Concerning Fees for Regular Observer Countries and Non-Member Full Participants in OECD Subsidiary Bodies, C(96)223/FINAL.</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36. The follow-up of any aspect of the Convention which is not also follow-up of the 1997 OECD Recommendation or any other instrument accepted by all the participants in the OECD Working Group on Bribery will be carried out by the Parties to the Convention and, as appropriate, the participants party to another, corresponding instrument.</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104" w:name="Par897"/>
      <w:bookmarkEnd w:id="104"/>
      <w:r w:rsidRPr="005519F6">
        <w:rPr>
          <w:rFonts w:cs="Calibri"/>
          <w:lang w:val="en-US"/>
        </w:rPr>
        <w:t>Article 13</w:t>
      </w:r>
    </w:p>
    <w:p w:rsidR="005519F6" w:rsidRPr="005519F6" w:rsidRDefault="005519F6">
      <w:pPr>
        <w:widowControl w:val="0"/>
        <w:autoSpaceDE w:val="0"/>
        <w:autoSpaceDN w:val="0"/>
        <w:adjustRightInd w:val="0"/>
        <w:spacing w:after="0" w:line="240" w:lineRule="auto"/>
        <w:jc w:val="center"/>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Signature and Accession: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37. The Convention will be open to non-members which become full participants in the OECD Working Group on Bribery in International Business Transactions. Full participation by non-members in this Working Group is encouraged and arranged under simple procedures. Accordingly, the requirement of full participation in the Working Group, which follows from the relationship of the Convention to other aspects of the fight against bribery in international business, should not be seen as an obstacle by countries wishing to participate in that fight. The Council of the OECD has appealed to non-members to adhere to the 1997 OECD Recommendation and to participate in any institutional follow-up or implementation mechanism, i.e., in the Working Group. The current procedures regarding full participation by non-members in the Working Group may be found in the Resolution of the Council concerning the Participation of Non-Member Economies in the Work of Subsidiary Bodies of the Organisation, C(96)64/REV1/FINAL. In addition to accepting the Revised Recommendation of the Council on Combating Bribery, a full participant also accepts the Recommendation on the Tax Deductibility of Bribes of Foreign Public Officials, adopted on 11 April 1996, C(96)27/FINAL.</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0"/>
        <w:rPr>
          <w:rFonts w:cs="Calibri"/>
          <w:b/>
          <w:bCs/>
          <w:lang w:val="en-US"/>
        </w:rPr>
      </w:pPr>
      <w:bookmarkStart w:id="105" w:name="Par907"/>
      <w:bookmarkEnd w:id="105"/>
      <w:r w:rsidRPr="005519F6">
        <w:rPr>
          <w:rFonts w:cs="Calibri"/>
          <w:b/>
          <w:bCs/>
          <w:lang w:val="en-US"/>
        </w:rPr>
        <w:t>REVISED RECOMMENDATION</w:t>
      </w: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OF THE COUNCIL ON COMBATING BRIBERY</w:t>
      </w: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IN INTERNATIONAL BUSINESS TRANSACTIONS</w:t>
      </w:r>
    </w:p>
    <w:p w:rsidR="005519F6" w:rsidRPr="005519F6" w:rsidRDefault="005519F6">
      <w:pPr>
        <w:widowControl w:val="0"/>
        <w:autoSpaceDE w:val="0"/>
        <w:autoSpaceDN w:val="0"/>
        <w:adjustRightInd w:val="0"/>
        <w:spacing w:after="0" w:line="240" w:lineRule="auto"/>
        <w:jc w:val="center"/>
        <w:rPr>
          <w:rFonts w:cs="Calibri"/>
          <w:b/>
          <w:bCs/>
          <w:lang w:val="en-US"/>
        </w:rPr>
      </w:pP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(23.V.1997)</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lastRenderedPageBreak/>
        <w:t>The council,</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Having regard to Articles 3, 5 a) and 5 b) of the Convention on the Organisation for Economic Co-operation and Development of 14 December 1960;</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Considering that bribery is a widespread phenomenon in international business transactions, including trade and investment, raising serious moral and political concerns and distorting international competitive conditions;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Considering that all countries share a responsibility to combat bribery in international business transactions;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Considering that enterprises should refrain from bribery of public servants and holders of public office, as stated in the OECD Guidelines for Multinational Enterprises;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Considering the progress which has been made in the implementation of the initial Recommendation of the Council on Bribery in International Business Transactions adopted on 27 May 1994, C(94)75/FINAL and the related Recommendation on the tax deductibility of bribes of foreign public officials adopted on 11 April 1996, C(96)27/FINAL; as well as the Recommendation concerning Anti-corruption Proposals for Bilateral Aid Procurement, endorsed by the High Level Meeting of the Development Assistance Committee on 7 May 1996;</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Welcoming other recent developments which further advance international understanding and co-operation regarding bribery in business transactions, including actions of the United Nations, the Council of Europe, the European Union and the Organisation of American States;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Having regard to the commitment made at the meeting of the Council at Ministerial level in May 1996, to criminalise the bribery of foreign public officials in an effective and co-ordinated manner;</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Noting that an international convention in conformity with the agreed common elements set forth in the Annex, is an appropriate instrument to attain such criminalisation rapidly.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Considering the consensus which has developed on the measures which should be taken to implement the 1994 Recommendation, in particular, with respect to the modalities and international instruments to facilitate criminalisation of bribery of foreign public officials; tax deductibility of bribes to foreign public officials; accounting requirements, external audit and internal company controls; and rules and regulations on public procurement;</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Recognising that achieving progress in this field requires not only efforts by individual countries but multilateral co-operation, monitoring and follow-up.</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106" w:name="Par925"/>
      <w:bookmarkEnd w:id="106"/>
      <w:r w:rsidRPr="005519F6">
        <w:rPr>
          <w:rFonts w:cs="Calibri"/>
          <w:lang w:val="en-US"/>
        </w:rPr>
        <w:t>General</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 Recommends that Member countries take effective measures to deter, prevent and combat the bribery of foreign public officials in connection with international business transactions.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 Recommends that each Member country examine the following areas and, in conformity with its jurisdictional and other basic legal principles, take concrete and meaningful steps to meet this goal:</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 criminal laws and their application, in accordance with section III and the Annex to this Recommendation;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 tax legislation, regulations and practice, to eliminate any indirect support of bribery, in accordance with section IV;</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iii) company and business accounting, external audit and internal control requirements and practices, in accordance with section V;</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iv) banking, financial and other relevant provisions, to ensure that adequate records would be kept and made available for inspection and investigation;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v) public subsidies, licences, government procurement contracts or other public advantages, so that advantages could be denied as a sanction for bribery in appropriate cases, and in accordance with section VI for procurement contracts and aid procurement;</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vi) civil, commercial, and administrative laws and regulations, so that such bribery would be illegal;</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vii) international co-operation in investigations and other legal proceedings, in accordance with section VII.</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Criminalisation of Bribery of Foreign Public Officials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lastRenderedPageBreak/>
        <w:t>III. Recommends that Member countries should criminalise the bribery of foreign public officials in an effective and co-ordinated manner by submitting proposals to their legislative bodies by 1 April 1998, in conformity with the agreed common elements set forth in the Annex, and seeking their enactment by the end of 1998.</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Decides, to this end, to open negotiations promptly on an international convention to criminalise bribery in conformity with the agreed common elements, the treaty to be open for signature by the end of 1997, with a view to its entry into force twelve months thereafter.</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107" w:name="Par942"/>
      <w:bookmarkEnd w:id="107"/>
      <w:r w:rsidRPr="005519F6">
        <w:rPr>
          <w:rFonts w:cs="Calibri"/>
          <w:lang w:val="en-US"/>
        </w:rPr>
        <w:t>Tax Deductibility</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IV. Urges the prompt implementation by Member countries of the 1996 Recommendation which reads as follows: "that those Member countries which do not disallow the deductibility of bribes to foreign public officials re-examine such treatment with the intention of denying this deductibility. Such action may be facilitated by the trend to treat bribes to foreign officials as illegal".</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108" w:name="Par946"/>
      <w:bookmarkEnd w:id="108"/>
      <w:r w:rsidRPr="005519F6">
        <w:rPr>
          <w:rFonts w:cs="Calibri"/>
          <w:lang w:val="en-US"/>
        </w:rPr>
        <w:t>Accounting Requirements, External Audit</w:t>
      </w: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and Internal Company Controls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V. Recommends that Member countries take the steps necessary so that laws, rules and practices with respect to accounting requirements, external audit and internal company controls are in line with the following principles and are fully used in order to prevent and detect bribery of foreign public officials in international business.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A. Adequate accounting requirements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 Member countries should require companies to maintain adequate records of the sums of money received and expended by the company, identifying the matters in respect of which the receipt and expenditure takes place. Companies should be prohibited from making off-the-books transactions or keeping off-the-books accounts.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 Member countries should require companies to disclose in their financial statements the full range of material contingent liabilities.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iii) Member countries should adequately sanction accounting omissions, falsifications and fraud.</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B. Independent External Audit</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 Member countries should consider whether requirements to submit to external audit are adequate.</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 Member countries and professional associations should maintain adequate standards to ensure the independence of external auditors which permits them to provide an objective assessment of company accounts, financial statements and internal controls.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iii) Member countries should require the auditor who discovers indications of a possible illegal act of bribery to report this discovery to management and, as appropriate, to corporate monitoring bodies.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iv) Member countries should consider requiring the auditor to report indications of a possible illegal act of bribery to competent authorities.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 Internal company controls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 Member countries should encourage the development and adoption of adequate internal company controls, including standards of conduct.</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 Member countries should encourage company management to make statements in their annual reports about their internal control mechanisms, including those which contribute to preventing bribery.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iii) Member countries should encourage the creation of monitoring bodies, independent of management, such as audit committees of boards of directors or of supervisory boards.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iv) Member countries should encourage companies to provide channels for communication by, and protection for, persons not willing to violate professional standards or ethics under instructions or pressure from hierarchical superiors.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109" w:name="Par965"/>
      <w:bookmarkEnd w:id="109"/>
      <w:r w:rsidRPr="005519F6">
        <w:rPr>
          <w:rFonts w:cs="Calibri"/>
          <w:lang w:val="en-US"/>
        </w:rPr>
        <w:t>Public procurement</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lastRenderedPageBreak/>
        <w:t>VI. Recommends: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 Member countries should support the efforts in the World Trade Organisation to pursue an agreement on transparency in government procurement;</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 Member countries' laws and regulations should permit authorities to suspend from competition for public contracts enterprises determined to have bribed foreign public officials in contravention of that Member's national laws and, to the extent a Member applies procurement sanctions to enterprises that are determined to have bribed domestic public officials, such sanctions should be applied equally in case of bribery of foreign public officials. &lt;1&gt;</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iii) In accordance with the Recommendation of the Development Assistance Committee, Member countries should require anti-corruption provisions in bilateral aid-funded procurement, promote the proper implementation of anti-corruption provisions in international development institutions, and work closely with development partners to combat corruption in all development co-operation efforts. &lt;2&gt;</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&lt;1&gt; Member countries' systems for applying sanctions for bribery of domestic officials differ as to whether the determination of bribery is based on a criminal conviction, indictment or administrative procedure, but in all cases it is based on substantial evidence.</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&lt;2&gt; This paragraph summarises the DAC recommendation, which is addressed to DAC members only, and addresses it to all OECD Members and eventually non-member countries which adhere to the Recommendation.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1"/>
        <w:rPr>
          <w:rFonts w:cs="Calibri"/>
          <w:lang w:val="en-US"/>
        </w:rPr>
      </w:pPr>
      <w:bookmarkStart w:id="110" w:name="Par975"/>
      <w:bookmarkEnd w:id="110"/>
      <w:r w:rsidRPr="005519F6">
        <w:rPr>
          <w:rFonts w:cs="Calibri"/>
          <w:lang w:val="en-US"/>
        </w:rPr>
        <w:t>International Co-operation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VII. Recommends that Member countries, in order to combat bribery in international business transactions, in conformity with their jurisdictional and other basic legal principles, take the following actions: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 consult and otherwise co-operate with appropriate authorities in other countries in investigations and other legal proceedings concerning specific cases of such bribery through such means as sharing of information (spontaneously or upon request), provision of evidence and extradition;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 make full use of existing agreements and arrangements for mutual international legal assistance and where necessary, enter into new agreements or arrangements for this purpose;</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iii) ensure that their national laws afford an adequate basis for this co-operation and, in particular, in accordance with paragraph 8 of the Annex.</w:t>
      </w:r>
    </w:p>
    <w:p w:rsidR="005519F6" w:rsidRPr="005519F6" w:rsidRDefault="005519F6">
      <w:pPr>
        <w:widowControl w:val="0"/>
        <w:autoSpaceDE w:val="0"/>
        <w:autoSpaceDN w:val="0"/>
        <w:adjustRightInd w:val="0"/>
        <w:spacing w:after="0" w:line="240" w:lineRule="auto"/>
        <w:rPr>
          <w:rFonts w:cs="Calibri"/>
          <w:lang w:val="en-US"/>
        </w:rPr>
      </w:pPr>
    </w:p>
    <w:p w:rsidR="005519F6" w:rsidRDefault="005519F6">
      <w:pPr>
        <w:widowControl w:val="0"/>
        <w:autoSpaceDE w:val="0"/>
        <w:autoSpaceDN w:val="0"/>
        <w:adjustRightInd w:val="0"/>
        <w:spacing w:after="0" w:line="240" w:lineRule="auto"/>
        <w:jc w:val="center"/>
        <w:outlineLvl w:val="1"/>
        <w:rPr>
          <w:rFonts w:cs="Calibri"/>
        </w:rPr>
      </w:pPr>
      <w:bookmarkStart w:id="111" w:name="Par982"/>
      <w:bookmarkEnd w:id="111"/>
      <w:r>
        <w:rPr>
          <w:rFonts w:cs="Calibri"/>
        </w:rPr>
        <w:t>Follow-up and institutional arrangements</w:t>
      </w:r>
    </w:p>
    <w:p w:rsidR="005519F6" w:rsidRDefault="005519F6">
      <w:pPr>
        <w:widowControl w:val="0"/>
        <w:autoSpaceDE w:val="0"/>
        <w:autoSpaceDN w:val="0"/>
        <w:adjustRightInd w:val="0"/>
        <w:spacing w:after="0" w:line="240" w:lineRule="auto"/>
        <w:rPr>
          <w:rFonts w:cs="Calibri"/>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VIII. Instructs the Committee on International Investment and Multinational Enterprises, through its Working Group on Bribery in International Business Transactions, to carry out a programme of systematic follow-up to monitor and promote the full implementation of this Recommendation, in co-operation with the Committee for Fiscal Affairs, the Development Assistance Committee and other OECD bodies, as appropriate. This follow-up will include, in particular:</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 receipt of notifications and other information submitted to it by the Member countries;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 regular reviews of steps taken by Member countries to implement the Recommendation and to make proposals, as appropriate, to assist Member countries in its implementation; these reviews will be based on the following complementary systems: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 a system of self-evaluation, where Member countries' responses on the basis of a questionnaire will provide a basis or assessing the implementation of the Recommendation;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 a system of mutual evaluation, where each Member country will be examined in turn by the Working Group on Bribery, on the basis of a report which will provide an objective assessment of the progress of the Member country in implementing the Recommendation.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iii) examination of specific issues relating to bribery in international business transactions;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iv) examination of the feasibility of broadening the scope of the work of the OECD to combat international bribery to include private sector bribery and bribery of foreign officials for reasons other than to obtain or retain business;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lastRenderedPageBreak/>
        <w:t>v) provision of regular information to the public on its work and activities and on implementation of the Recommendation.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IX. Notes the obligation of Member countries to co-operate closely in this follow-up programme, pursuant to Article 3 of the OECD Convention.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X. Instructs the Committee on International Investment and Multinational Enterprises to review the implementation of Sections III and, in co-operation with the Committee on Fiscal Affairs, Section IV of this Recommendation and report to Ministers in Spring 1998, to report to the Council after the first regular review and as appropriate there after, and to review this Revised Recommendation within three years after its adoption.</w:t>
      </w:r>
    </w:p>
    <w:p w:rsidR="005519F6" w:rsidRPr="005519F6" w:rsidRDefault="005519F6">
      <w:pPr>
        <w:widowControl w:val="0"/>
        <w:autoSpaceDE w:val="0"/>
        <w:autoSpaceDN w:val="0"/>
        <w:adjustRightInd w:val="0"/>
        <w:spacing w:after="0" w:line="240" w:lineRule="auto"/>
        <w:rPr>
          <w:rFonts w:cs="Calibri"/>
          <w:lang w:val="en-US"/>
        </w:rPr>
      </w:pPr>
    </w:p>
    <w:p w:rsidR="005519F6" w:rsidRDefault="005519F6">
      <w:pPr>
        <w:widowControl w:val="0"/>
        <w:autoSpaceDE w:val="0"/>
        <w:autoSpaceDN w:val="0"/>
        <w:adjustRightInd w:val="0"/>
        <w:spacing w:after="0" w:line="240" w:lineRule="auto"/>
        <w:jc w:val="center"/>
        <w:outlineLvl w:val="1"/>
        <w:rPr>
          <w:rFonts w:cs="Calibri"/>
        </w:rPr>
      </w:pPr>
      <w:bookmarkStart w:id="112" w:name="Par995"/>
      <w:bookmarkEnd w:id="112"/>
      <w:r>
        <w:rPr>
          <w:rFonts w:cs="Calibri"/>
        </w:rPr>
        <w:t>Co-operation with non members</w:t>
      </w:r>
    </w:p>
    <w:p w:rsidR="005519F6" w:rsidRDefault="005519F6">
      <w:pPr>
        <w:widowControl w:val="0"/>
        <w:autoSpaceDE w:val="0"/>
        <w:autoSpaceDN w:val="0"/>
        <w:adjustRightInd w:val="0"/>
        <w:spacing w:after="0" w:line="240" w:lineRule="auto"/>
        <w:rPr>
          <w:rFonts w:cs="Calibri"/>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XI. Appeals to non-member countries to adhere to the Recommendation and participate in any institutional follow-up or implementation mechanism.</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XII. Instructs the Committee on International Investment and Multinational Enterprises through its Working Group on Bribery, to provide a forum for consultations with countries which have not yet adhered, in order to promote wider participation in the Recommendation and its follow-up.</w:t>
      </w:r>
    </w:p>
    <w:p w:rsidR="005519F6" w:rsidRPr="005519F6" w:rsidRDefault="005519F6">
      <w:pPr>
        <w:widowControl w:val="0"/>
        <w:autoSpaceDE w:val="0"/>
        <w:autoSpaceDN w:val="0"/>
        <w:adjustRightInd w:val="0"/>
        <w:spacing w:after="0" w:line="240" w:lineRule="auto"/>
        <w:rPr>
          <w:rFonts w:cs="Calibri"/>
          <w:lang w:val="en-US"/>
        </w:rPr>
      </w:pPr>
    </w:p>
    <w:p w:rsidR="005519F6" w:rsidRDefault="005519F6">
      <w:pPr>
        <w:widowControl w:val="0"/>
        <w:autoSpaceDE w:val="0"/>
        <w:autoSpaceDN w:val="0"/>
        <w:adjustRightInd w:val="0"/>
        <w:spacing w:after="0" w:line="240" w:lineRule="auto"/>
        <w:jc w:val="center"/>
        <w:outlineLvl w:val="1"/>
        <w:rPr>
          <w:rFonts w:cs="Calibri"/>
        </w:rPr>
      </w:pPr>
      <w:bookmarkStart w:id="113" w:name="Par1000"/>
      <w:bookmarkEnd w:id="113"/>
      <w:r>
        <w:rPr>
          <w:rFonts w:cs="Calibri"/>
        </w:rPr>
        <w:t>Relations with international governmental</w:t>
      </w:r>
    </w:p>
    <w:p w:rsidR="005519F6" w:rsidRPr="005519F6" w:rsidRDefault="005519F6">
      <w:pPr>
        <w:widowControl w:val="0"/>
        <w:autoSpaceDE w:val="0"/>
        <w:autoSpaceDN w:val="0"/>
        <w:adjustRightInd w:val="0"/>
        <w:spacing w:after="0" w:line="240" w:lineRule="auto"/>
        <w:jc w:val="center"/>
        <w:rPr>
          <w:rFonts w:cs="Calibri"/>
          <w:lang w:val="en-US"/>
        </w:rPr>
      </w:pPr>
      <w:r w:rsidRPr="005519F6">
        <w:rPr>
          <w:rFonts w:cs="Calibri"/>
          <w:lang w:val="en-US"/>
        </w:rPr>
        <w:t>and non-governmental organisations</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XIII. Invites the Committee on International Investment and Multinational Enterprises through its Working Group on Bribery, to consult and co-operate with the international organisations and international financial institutions active in the combat against bribery in international business transactions and consult regularly with the non-governmental organisations and representatives of the business community active in this field.</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Default="005519F6">
      <w:pPr>
        <w:widowControl w:val="0"/>
        <w:autoSpaceDE w:val="0"/>
        <w:autoSpaceDN w:val="0"/>
        <w:adjustRightInd w:val="0"/>
        <w:spacing w:after="0" w:line="240" w:lineRule="auto"/>
        <w:jc w:val="right"/>
        <w:outlineLvl w:val="1"/>
        <w:rPr>
          <w:rFonts w:cs="Calibri"/>
        </w:rPr>
      </w:pPr>
      <w:bookmarkStart w:id="114" w:name="Par1009"/>
      <w:bookmarkEnd w:id="114"/>
      <w:r>
        <w:rPr>
          <w:rFonts w:cs="Calibri"/>
        </w:rPr>
        <w:t>Annex</w:t>
      </w:r>
    </w:p>
    <w:p w:rsidR="005519F6" w:rsidRDefault="005519F6">
      <w:pPr>
        <w:widowControl w:val="0"/>
        <w:autoSpaceDE w:val="0"/>
        <w:autoSpaceDN w:val="0"/>
        <w:adjustRightInd w:val="0"/>
        <w:spacing w:after="0" w:line="240" w:lineRule="auto"/>
        <w:rPr>
          <w:rFonts w:cs="Calibri"/>
        </w:rPr>
      </w:pP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AGREED COMMON ELEMENTS</w:t>
      </w: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OF CRIMINAL LEGISLATION AND RELATED ACTION</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1) Elements of the offence of active bribery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 Bribery is understood as the promise or giving of any undue payment or other advantages, whether directly or through intermediaries to a public official, for himself or for a third party, to influence the official to act or refrain from acting in the performance of his or her official duties in order to obtain or retain business.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 Foreign public official means any person holding a legislative, administrative or judicial office of a foreign country or in an international organisation, whether appointed or elected or, any person exercising a public function or task in a foreign country.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iii) The offeror is any person, on his own behalf or on the behalf of any other natural person or legal entity.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2) Ancillary elements or offences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The general criminal law concepts of attempt, complicity and / or conspiracy of the law of the prosecuting state are recognised as applicable to the offence of bribery of a foreign public official.</w:t>
      </w:r>
    </w:p>
    <w:p w:rsidR="005519F6" w:rsidRDefault="005519F6">
      <w:pPr>
        <w:widowControl w:val="0"/>
        <w:autoSpaceDE w:val="0"/>
        <w:autoSpaceDN w:val="0"/>
        <w:adjustRightInd w:val="0"/>
        <w:spacing w:after="0" w:line="240" w:lineRule="auto"/>
        <w:ind w:firstLine="540"/>
        <w:jc w:val="both"/>
        <w:rPr>
          <w:rFonts w:cs="Calibri"/>
        </w:rPr>
      </w:pPr>
      <w:r>
        <w:rPr>
          <w:rFonts w:cs="Calibri"/>
        </w:rPr>
        <w:t>3) Excuses and defences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Bribery of foreign public officials in order to obtain or retain business is an offence irrespective of the value or the outcome of the bribe, of perceptions of local custom or of the tolerance of bribery by local authorities.</w:t>
      </w:r>
    </w:p>
    <w:p w:rsidR="005519F6" w:rsidRDefault="005519F6">
      <w:pPr>
        <w:widowControl w:val="0"/>
        <w:autoSpaceDE w:val="0"/>
        <w:autoSpaceDN w:val="0"/>
        <w:adjustRightInd w:val="0"/>
        <w:spacing w:after="0" w:line="240" w:lineRule="auto"/>
        <w:ind w:firstLine="540"/>
        <w:jc w:val="both"/>
        <w:rPr>
          <w:rFonts w:cs="Calibri"/>
        </w:rPr>
      </w:pPr>
      <w:r>
        <w:rPr>
          <w:rFonts w:cs="Calibri"/>
        </w:rPr>
        <w:t>4) Jurisdiction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lastRenderedPageBreak/>
        <w:t>Jurisdiction over the offence of bribery of foreign public officials should in any case be established when the offence is committed in whole or in part in the prosecuting State's territory. The territorial basis for jurisdiction should be interpreted broadly so that an extensive physical connection to the bribery act is not required.</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States which prosecute their nationals for offences committed abroad should do so in respect of the bribery of foreign public officials according to the same principles.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States which do not prosecute on the basis of the nationality principle should be prepared to extradite their nationals in respect of the bribery of foreign public officials.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All countries should review whether their current basis for jurisdiction is effective in the fight against bribery of foreign public officials and, if not, should take appropriate remedial steps.</w:t>
      </w:r>
    </w:p>
    <w:p w:rsidR="005519F6" w:rsidRDefault="005519F6">
      <w:pPr>
        <w:widowControl w:val="0"/>
        <w:autoSpaceDE w:val="0"/>
        <w:autoSpaceDN w:val="0"/>
        <w:adjustRightInd w:val="0"/>
        <w:spacing w:after="0" w:line="240" w:lineRule="auto"/>
        <w:ind w:firstLine="540"/>
        <w:jc w:val="both"/>
        <w:rPr>
          <w:rFonts w:cs="Calibri"/>
        </w:rPr>
      </w:pPr>
      <w:r>
        <w:rPr>
          <w:rFonts w:cs="Calibri"/>
        </w:rPr>
        <w:t>5) Sanctions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The offence of bribery of foreign public officials should be sanctioned / punishable by effective, proportionate and dissuasive criminal penalties, sufficient to secure effective mutual legal assistance and extradition, comparable to those applicable to the bribers in cases of corruption of domestic public officials.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Monetary or other civil, administrative or criminal penalties on any legal person involved, should be provided, taking into account the amounts of the bribe and of the profits derived from the transaction obtained through the bribe.</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Forfeiture or confiscation of instrumentalities and of the bribe benefits and the profits derived from the transactions obtained through the bribe should be provided, or comparable fines or damages imposed.</w:t>
      </w:r>
    </w:p>
    <w:p w:rsidR="005519F6" w:rsidRDefault="005519F6">
      <w:pPr>
        <w:widowControl w:val="0"/>
        <w:autoSpaceDE w:val="0"/>
        <w:autoSpaceDN w:val="0"/>
        <w:adjustRightInd w:val="0"/>
        <w:spacing w:after="0" w:line="240" w:lineRule="auto"/>
        <w:ind w:firstLine="540"/>
        <w:jc w:val="both"/>
        <w:rPr>
          <w:rFonts w:cs="Calibri"/>
        </w:rPr>
      </w:pPr>
      <w:r>
        <w:rPr>
          <w:rFonts w:cs="Calibri"/>
        </w:rPr>
        <w:t>6) Enforcement</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In view of the seriousness of the offence of bribery of foreign public officials, public prosecutors should exercise their discretion independently, based on professional motives. They should not be influenced by considerations of national economic interest, fostering good political relations or the identity of the victim.</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Complaints of victims should be seriously investigated by the competent authorities.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The statute of limitations should allow adequate time to address this complex offence.</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National governments should provide adequate resources to prosecuting authorities so as to permit effective prosecution of bribery of foreign public officials.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7) Connected provisions (criminal and non-criminal)</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 Accounting, recordkeeping and disclosure requirements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In order to combat bribery of foreign public officials effectively, states should also adequately sanction accounting omissions, falsifications and fraud.</w:t>
      </w:r>
    </w:p>
    <w:p w:rsidR="005519F6" w:rsidRDefault="005519F6">
      <w:pPr>
        <w:widowControl w:val="0"/>
        <w:autoSpaceDE w:val="0"/>
        <w:autoSpaceDN w:val="0"/>
        <w:adjustRightInd w:val="0"/>
        <w:spacing w:after="0" w:line="240" w:lineRule="auto"/>
        <w:ind w:firstLine="540"/>
        <w:jc w:val="both"/>
        <w:rPr>
          <w:rFonts w:cs="Calibri"/>
        </w:rPr>
      </w:pPr>
      <w:r>
        <w:rPr>
          <w:rFonts w:cs="Calibri"/>
        </w:rPr>
        <w:t>- Money laundering</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The bribery of foreign public officials should be made a predicate offence for purposes of money laundering legislation where bribery of a domestic public official is a money laundering predicate offence, without regard to the place where the bribery occurs.</w:t>
      </w:r>
    </w:p>
    <w:p w:rsidR="005519F6" w:rsidRDefault="005519F6">
      <w:pPr>
        <w:widowControl w:val="0"/>
        <w:autoSpaceDE w:val="0"/>
        <w:autoSpaceDN w:val="0"/>
        <w:adjustRightInd w:val="0"/>
        <w:spacing w:after="0" w:line="240" w:lineRule="auto"/>
        <w:ind w:firstLine="540"/>
        <w:jc w:val="both"/>
        <w:rPr>
          <w:rFonts w:cs="Calibri"/>
        </w:rPr>
      </w:pPr>
      <w:r>
        <w:rPr>
          <w:rFonts w:cs="Calibri"/>
        </w:rPr>
        <w:t>8) International co-operation</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Effective mutual legal assistance is critical to be able to investigate and obtain evidence in order to prosecute cases of bribery of foreign public officials.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Adoption of laws criminalising the bribery of foreign public officials would remove obstacles to mutual legal assistance created by dual criminality requirements.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Countries should tailor their laws on mutual legal assistance to permit co-operation with countries investigating cases of bribery of foreign public officials even including third countries (country of the offeror; country where the act occurred) and countries applying different types of criminalisation legislation to reach such cases.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Means should be explored and undertaken to improve the efficiency of mutual legal assistance.</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jc w:val="center"/>
        <w:outlineLvl w:val="0"/>
        <w:rPr>
          <w:rFonts w:cs="Calibri"/>
          <w:b/>
          <w:bCs/>
          <w:lang w:val="en-US"/>
        </w:rPr>
      </w:pPr>
      <w:bookmarkStart w:id="115" w:name="Par1051"/>
      <w:bookmarkEnd w:id="115"/>
      <w:r w:rsidRPr="005519F6">
        <w:rPr>
          <w:rFonts w:cs="Calibri"/>
          <w:b/>
          <w:bCs/>
          <w:lang w:val="en-US"/>
        </w:rPr>
        <w:t>RECOMMENDATION</w:t>
      </w: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lastRenderedPageBreak/>
        <w:t>OF THE COUNCIL ON THE TAX DEDUCTIBILITY OF BRIBES</w:t>
      </w: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TO FOREIGN PUBLIC OFFICIALS</w:t>
      </w:r>
    </w:p>
    <w:p w:rsidR="005519F6" w:rsidRPr="005519F6" w:rsidRDefault="005519F6">
      <w:pPr>
        <w:widowControl w:val="0"/>
        <w:autoSpaceDE w:val="0"/>
        <w:autoSpaceDN w:val="0"/>
        <w:adjustRightInd w:val="0"/>
        <w:spacing w:after="0" w:line="240" w:lineRule="auto"/>
        <w:jc w:val="center"/>
        <w:rPr>
          <w:rFonts w:cs="Calibri"/>
          <w:b/>
          <w:bCs/>
          <w:lang w:val="en-US"/>
        </w:rPr>
      </w:pPr>
    </w:p>
    <w:p w:rsidR="005519F6" w:rsidRPr="005519F6" w:rsidRDefault="005519F6">
      <w:pPr>
        <w:widowControl w:val="0"/>
        <w:autoSpaceDE w:val="0"/>
        <w:autoSpaceDN w:val="0"/>
        <w:adjustRightInd w:val="0"/>
        <w:spacing w:after="0" w:line="240" w:lineRule="auto"/>
        <w:jc w:val="center"/>
        <w:rPr>
          <w:rFonts w:cs="Calibri"/>
          <w:b/>
          <w:bCs/>
          <w:lang w:val="en-US"/>
        </w:rPr>
      </w:pPr>
      <w:r w:rsidRPr="005519F6">
        <w:rPr>
          <w:rFonts w:cs="Calibri"/>
          <w:b/>
          <w:bCs/>
          <w:lang w:val="en-US"/>
        </w:rPr>
        <w:t>(11.IV.1996)</w:t>
      </w:r>
    </w:p>
    <w:p w:rsidR="005519F6" w:rsidRPr="005519F6" w:rsidRDefault="005519F6">
      <w:pPr>
        <w:widowControl w:val="0"/>
        <w:autoSpaceDE w:val="0"/>
        <w:autoSpaceDN w:val="0"/>
        <w:adjustRightInd w:val="0"/>
        <w:spacing w:after="0" w:line="240" w:lineRule="auto"/>
        <w:rPr>
          <w:rFonts w:cs="Calibri"/>
          <w:lang w:val="en-US"/>
        </w:rPr>
      </w:pPr>
    </w:p>
    <w:p w:rsidR="005519F6" w:rsidRDefault="005519F6">
      <w:pPr>
        <w:widowControl w:val="0"/>
        <w:autoSpaceDE w:val="0"/>
        <w:autoSpaceDN w:val="0"/>
        <w:adjustRightInd w:val="0"/>
        <w:spacing w:after="0" w:line="240" w:lineRule="auto"/>
        <w:ind w:firstLine="540"/>
        <w:jc w:val="both"/>
        <w:rPr>
          <w:rFonts w:cs="Calibri"/>
        </w:rPr>
      </w:pPr>
      <w:r>
        <w:rPr>
          <w:rFonts w:cs="Calibri"/>
        </w:rPr>
        <w:t>The council,</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Having regard to Article 5 b) of the Convention on the Organisation for Economic Co-operation and Development of 14th December 1960;</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Having regard to the OECD Council Recommendation on Bribery in International Business Transactions [C(94)75/FINAL];</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Considering that bribery is a widespread phenomenon in international business transactions, including trade and investment, raising serious moral and political concerns and distorting international competitive conditions;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Considering that the Council Recommendation on Bribery called on Member countries to take concrete and meaningful steps to combat bribery in international business transactions, including examining tax measures which may indirectly favour bribery;</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On the proposal of the Committee on Fiscal Affairs and the Committee on International Investment and Multinational Enterprises:</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 Recommends that those Member countries which do not disallow the deductibility of bribes to foreign public officials re-examine such treatment with the intention of denying this deductibility. Such action may be facilitated by the trend to treat bribes to foreign public officials as illegal.</w:t>
      </w:r>
    </w:p>
    <w:p w:rsidR="005519F6" w:rsidRPr="005519F6" w:rsidRDefault="005519F6">
      <w:pPr>
        <w:widowControl w:val="0"/>
        <w:autoSpaceDE w:val="0"/>
        <w:autoSpaceDN w:val="0"/>
        <w:adjustRightInd w:val="0"/>
        <w:spacing w:after="0" w:line="240" w:lineRule="auto"/>
        <w:ind w:firstLine="540"/>
        <w:jc w:val="both"/>
        <w:rPr>
          <w:rFonts w:cs="Calibri"/>
          <w:lang w:val="en-US"/>
        </w:rPr>
      </w:pPr>
      <w:r w:rsidRPr="005519F6">
        <w:rPr>
          <w:rFonts w:cs="Calibri"/>
          <w:lang w:val="en-US"/>
        </w:rPr>
        <w:t>II. Instructs the Committee on Fiscal Affairs, in cooperation with the Committee on International Investment and Multinational Enterprises, to monitor the implementation of this Recommendation, to promote the Recommendation in the context of contacts with non-Member countries and to report to the Council as appropriate.</w:t>
      </w: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autoSpaceDE w:val="0"/>
        <w:autoSpaceDN w:val="0"/>
        <w:adjustRightInd w:val="0"/>
        <w:spacing w:after="0" w:line="240" w:lineRule="auto"/>
        <w:rPr>
          <w:rFonts w:cs="Calibri"/>
          <w:lang w:val="en-US"/>
        </w:rPr>
      </w:pPr>
    </w:p>
    <w:p w:rsidR="005519F6" w:rsidRPr="005519F6" w:rsidRDefault="005519F6">
      <w:pPr>
        <w:widowControl w:val="0"/>
        <w:pBdr>
          <w:bottom w:val="single" w:sz="6" w:space="0" w:color="auto"/>
        </w:pBdr>
        <w:autoSpaceDE w:val="0"/>
        <w:autoSpaceDN w:val="0"/>
        <w:adjustRightInd w:val="0"/>
        <w:spacing w:after="0" w:line="240" w:lineRule="auto"/>
        <w:rPr>
          <w:rFonts w:cs="Calibri"/>
          <w:sz w:val="5"/>
          <w:szCs w:val="5"/>
          <w:lang w:val="en-US"/>
        </w:rPr>
      </w:pPr>
    </w:p>
    <w:p w:rsidR="00E122C7" w:rsidRPr="005519F6" w:rsidRDefault="00E122C7">
      <w:pPr>
        <w:rPr>
          <w:lang w:val="en-US"/>
        </w:rPr>
      </w:pPr>
    </w:p>
    <w:sectPr w:rsidR="00E122C7" w:rsidRPr="005519F6" w:rsidSect="00705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9F6"/>
    <w:rsid w:val="005519F6"/>
    <w:rsid w:val="00705EF0"/>
    <w:rsid w:val="00832945"/>
    <w:rsid w:val="00B00156"/>
    <w:rsid w:val="00CD6C03"/>
    <w:rsid w:val="00E122C7"/>
    <w:rsid w:val="00F0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19F6"/>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5519F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5519F6"/>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5519F6"/>
    <w:pPr>
      <w:widowControl w:val="0"/>
      <w:autoSpaceDE w:val="0"/>
      <w:autoSpaceDN w:val="0"/>
      <w:adjustRightInd w:val="0"/>
    </w:pPr>
    <w:rPr>
      <w:rFonts w:eastAsia="Times New Roman"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17767</Words>
  <Characters>101272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[официальный перевод</vt:lpstr>
    </vt:vector>
  </TitlesOfParts>
  <Company>Hewlett-Packard Company</Company>
  <LinksUpToDate>false</LinksUpToDate>
  <CharactersWithSpaces>118802</CharactersWithSpaces>
  <SharedDoc>false</SharedDoc>
  <HLinks>
    <vt:vector size="558" baseType="variant">
      <vt:variant>
        <vt:i4>6357045</vt:i4>
      </vt:variant>
      <vt:variant>
        <vt:i4>276</vt:i4>
      </vt:variant>
      <vt:variant>
        <vt:i4>0</vt:i4>
      </vt:variant>
      <vt:variant>
        <vt:i4>5</vt:i4>
      </vt:variant>
      <vt:variant>
        <vt:lpwstr/>
      </vt:variant>
      <vt:variant>
        <vt:lpwstr>Par373</vt:lpwstr>
      </vt:variant>
      <vt:variant>
        <vt:i4>6357045</vt:i4>
      </vt:variant>
      <vt:variant>
        <vt:i4>273</vt:i4>
      </vt:variant>
      <vt:variant>
        <vt:i4>0</vt:i4>
      </vt:variant>
      <vt:variant>
        <vt:i4>5</vt:i4>
      </vt:variant>
      <vt:variant>
        <vt:lpwstr/>
      </vt:variant>
      <vt:variant>
        <vt:lpwstr>Par373</vt:lpwstr>
      </vt:variant>
      <vt:variant>
        <vt:i4>6357045</vt:i4>
      </vt:variant>
      <vt:variant>
        <vt:i4>270</vt:i4>
      </vt:variant>
      <vt:variant>
        <vt:i4>0</vt:i4>
      </vt:variant>
      <vt:variant>
        <vt:i4>5</vt:i4>
      </vt:variant>
      <vt:variant>
        <vt:lpwstr/>
      </vt:variant>
      <vt:variant>
        <vt:lpwstr>Par373</vt:lpwstr>
      </vt:variant>
      <vt:variant>
        <vt:i4>6553651</vt:i4>
      </vt:variant>
      <vt:variant>
        <vt:i4>267</vt:i4>
      </vt:variant>
      <vt:variant>
        <vt:i4>0</vt:i4>
      </vt:variant>
      <vt:variant>
        <vt:i4>5</vt:i4>
      </vt:variant>
      <vt:variant>
        <vt:lpwstr/>
      </vt:variant>
      <vt:variant>
        <vt:lpwstr>Par411</vt:lpwstr>
      </vt:variant>
      <vt:variant>
        <vt:i4>6488114</vt:i4>
      </vt:variant>
      <vt:variant>
        <vt:i4>264</vt:i4>
      </vt:variant>
      <vt:variant>
        <vt:i4>0</vt:i4>
      </vt:variant>
      <vt:variant>
        <vt:i4>5</vt:i4>
      </vt:variant>
      <vt:variant>
        <vt:lpwstr/>
      </vt:variant>
      <vt:variant>
        <vt:lpwstr>Par406</vt:lpwstr>
      </vt:variant>
      <vt:variant>
        <vt:i4>6619187</vt:i4>
      </vt:variant>
      <vt:variant>
        <vt:i4>261</vt:i4>
      </vt:variant>
      <vt:variant>
        <vt:i4>0</vt:i4>
      </vt:variant>
      <vt:variant>
        <vt:i4>5</vt:i4>
      </vt:variant>
      <vt:variant>
        <vt:lpwstr/>
      </vt:variant>
      <vt:variant>
        <vt:lpwstr>Par511</vt:lpwstr>
      </vt:variant>
      <vt:variant>
        <vt:i4>6619184</vt:i4>
      </vt:variant>
      <vt:variant>
        <vt:i4>258</vt:i4>
      </vt:variant>
      <vt:variant>
        <vt:i4>0</vt:i4>
      </vt:variant>
      <vt:variant>
        <vt:i4>5</vt:i4>
      </vt:variant>
      <vt:variant>
        <vt:lpwstr/>
      </vt:variant>
      <vt:variant>
        <vt:lpwstr>Par521</vt:lpwstr>
      </vt:variant>
      <vt:variant>
        <vt:i4>7077941</vt:i4>
      </vt:variant>
      <vt:variant>
        <vt:i4>255</vt:i4>
      </vt:variant>
      <vt:variant>
        <vt:i4>0</vt:i4>
      </vt:variant>
      <vt:variant>
        <vt:i4>5</vt:i4>
      </vt:variant>
      <vt:variant>
        <vt:lpwstr/>
      </vt:variant>
      <vt:variant>
        <vt:lpwstr>Par479</vt:lpwstr>
      </vt:variant>
      <vt:variant>
        <vt:i4>6291510</vt:i4>
      </vt:variant>
      <vt:variant>
        <vt:i4>252</vt:i4>
      </vt:variant>
      <vt:variant>
        <vt:i4>0</vt:i4>
      </vt:variant>
      <vt:variant>
        <vt:i4>5</vt:i4>
      </vt:variant>
      <vt:variant>
        <vt:lpwstr/>
      </vt:variant>
      <vt:variant>
        <vt:lpwstr>Par445</vt:lpwstr>
      </vt:variant>
      <vt:variant>
        <vt:i4>7143473</vt:i4>
      </vt:variant>
      <vt:variant>
        <vt:i4>249</vt:i4>
      </vt:variant>
      <vt:variant>
        <vt:i4>0</vt:i4>
      </vt:variant>
      <vt:variant>
        <vt:i4>5</vt:i4>
      </vt:variant>
      <vt:variant>
        <vt:lpwstr/>
      </vt:variant>
      <vt:variant>
        <vt:lpwstr>Par438</vt:lpwstr>
      </vt:variant>
      <vt:variant>
        <vt:i4>6422579</vt:i4>
      </vt:variant>
      <vt:variant>
        <vt:i4>246</vt:i4>
      </vt:variant>
      <vt:variant>
        <vt:i4>0</vt:i4>
      </vt:variant>
      <vt:variant>
        <vt:i4>5</vt:i4>
      </vt:variant>
      <vt:variant>
        <vt:lpwstr/>
      </vt:variant>
      <vt:variant>
        <vt:lpwstr>Par417</vt:lpwstr>
      </vt:variant>
      <vt:variant>
        <vt:i4>6553651</vt:i4>
      </vt:variant>
      <vt:variant>
        <vt:i4>243</vt:i4>
      </vt:variant>
      <vt:variant>
        <vt:i4>0</vt:i4>
      </vt:variant>
      <vt:variant>
        <vt:i4>5</vt:i4>
      </vt:variant>
      <vt:variant>
        <vt:lpwstr/>
      </vt:variant>
      <vt:variant>
        <vt:lpwstr>Par411</vt:lpwstr>
      </vt:variant>
      <vt:variant>
        <vt:i4>7077941</vt:i4>
      </vt:variant>
      <vt:variant>
        <vt:i4>240</vt:i4>
      </vt:variant>
      <vt:variant>
        <vt:i4>0</vt:i4>
      </vt:variant>
      <vt:variant>
        <vt:i4>5</vt:i4>
      </vt:variant>
      <vt:variant>
        <vt:lpwstr/>
      </vt:variant>
      <vt:variant>
        <vt:lpwstr>Par479</vt:lpwstr>
      </vt:variant>
      <vt:variant>
        <vt:i4>6488114</vt:i4>
      </vt:variant>
      <vt:variant>
        <vt:i4>237</vt:i4>
      </vt:variant>
      <vt:variant>
        <vt:i4>0</vt:i4>
      </vt:variant>
      <vt:variant>
        <vt:i4>5</vt:i4>
      </vt:variant>
      <vt:variant>
        <vt:lpwstr/>
      </vt:variant>
      <vt:variant>
        <vt:lpwstr>Par406</vt:lpwstr>
      </vt:variant>
      <vt:variant>
        <vt:i4>7077941</vt:i4>
      </vt:variant>
      <vt:variant>
        <vt:i4>234</vt:i4>
      </vt:variant>
      <vt:variant>
        <vt:i4>0</vt:i4>
      </vt:variant>
      <vt:variant>
        <vt:i4>5</vt:i4>
      </vt:variant>
      <vt:variant>
        <vt:lpwstr/>
      </vt:variant>
      <vt:variant>
        <vt:lpwstr>Par479</vt:lpwstr>
      </vt:variant>
      <vt:variant>
        <vt:i4>6619184</vt:i4>
      </vt:variant>
      <vt:variant>
        <vt:i4>231</vt:i4>
      </vt:variant>
      <vt:variant>
        <vt:i4>0</vt:i4>
      </vt:variant>
      <vt:variant>
        <vt:i4>5</vt:i4>
      </vt:variant>
      <vt:variant>
        <vt:lpwstr/>
      </vt:variant>
      <vt:variant>
        <vt:lpwstr>Par521</vt:lpwstr>
      </vt:variant>
      <vt:variant>
        <vt:i4>6619184</vt:i4>
      </vt:variant>
      <vt:variant>
        <vt:i4>228</vt:i4>
      </vt:variant>
      <vt:variant>
        <vt:i4>0</vt:i4>
      </vt:variant>
      <vt:variant>
        <vt:i4>5</vt:i4>
      </vt:variant>
      <vt:variant>
        <vt:lpwstr/>
      </vt:variant>
      <vt:variant>
        <vt:lpwstr>Par521</vt:lpwstr>
      </vt:variant>
      <vt:variant>
        <vt:i4>6357045</vt:i4>
      </vt:variant>
      <vt:variant>
        <vt:i4>225</vt:i4>
      </vt:variant>
      <vt:variant>
        <vt:i4>0</vt:i4>
      </vt:variant>
      <vt:variant>
        <vt:i4>5</vt:i4>
      </vt:variant>
      <vt:variant>
        <vt:lpwstr/>
      </vt:variant>
      <vt:variant>
        <vt:lpwstr>Par373</vt:lpwstr>
      </vt:variant>
      <vt:variant>
        <vt:i4>6357045</vt:i4>
      </vt:variant>
      <vt:variant>
        <vt:i4>222</vt:i4>
      </vt:variant>
      <vt:variant>
        <vt:i4>0</vt:i4>
      </vt:variant>
      <vt:variant>
        <vt:i4>5</vt:i4>
      </vt:variant>
      <vt:variant>
        <vt:lpwstr/>
      </vt:variant>
      <vt:variant>
        <vt:lpwstr>Par373</vt:lpwstr>
      </vt:variant>
      <vt:variant>
        <vt:i4>5701634</vt:i4>
      </vt:variant>
      <vt:variant>
        <vt:i4>219</vt:i4>
      </vt:variant>
      <vt:variant>
        <vt:i4>0</vt:i4>
      </vt:variant>
      <vt:variant>
        <vt:i4>5</vt:i4>
      </vt:variant>
      <vt:variant>
        <vt:lpwstr/>
      </vt:variant>
      <vt:variant>
        <vt:lpwstr>Par6</vt:lpwstr>
      </vt:variant>
      <vt:variant>
        <vt:i4>6619187</vt:i4>
      </vt:variant>
      <vt:variant>
        <vt:i4>216</vt:i4>
      </vt:variant>
      <vt:variant>
        <vt:i4>0</vt:i4>
      </vt:variant>
      <vt:variant>
        <vt:i4>5</vt:i4>
      </vt:variant>
      <vt:variant>
        <vt:lpwstr/>
      </vt:variant>
      <vt:variant>
        <vt:lpwstr>Par115</vt:lpwstr>
      </vt:variant>
      <vt:variant>
        <vt:i4>6357045</vt:i4>
      </vt:variant>
      <vt:variant>
        <vt:i4>213</vt:i4>
      </vt:variant>
      <vt:variant>
        <vt:i4>0</vt:i4>
      </vt:variant>
      <vt:variant>
        <vt:i4>5</vt:i4>
      </vt:variant>
      <vt:variant>
        <vt:lpwstr/>
      </vt:variant>
      <vt:variant>
        <vt:lpwstr>Par373</vt:lpwstr>
      </vt:variant>
      <vt:variant>
        <vt:i4>5701634</vt:i4>
      </vt:variant>
      <vt:variant>
        <vt:i4>210</vt:i4>
      </vt:variant>
      <vt:variant>
        <vt:i4>0</vt:i4>
      </vt:variant>
      <vt:variant>
        <vt:i4>5</vt:i4>
      </vt:variant>
      <vt:variant>
        <vt:lpwstr/>
      </vt:variant>
      <vt:variant>
        <vt:lpwstr>Par6</vt:lpwstr>
      </vt:variant>
      <vt:variant>
        <vt:i4>6357045</vt:i4>
      </vt:variant>
      <vt:variant>
        <vt:i4>207</vt:i4>
      </vt:variant>
      <vt:variant>
        <vt:i4>0</vt:i4>
      </vt:variant>
      <vt:variant>
        <vt:i4>5</vt:i4>
      </vt:variant>
      <vt:variant>
        <vt:lpwstr/>
      </vt:variant>
      <vt:variant>
        <vt:lpwstr>Par373</vt:lpwstr>
      </vt:variant>
      <vt:variant>
        <vt:i4>6357045</vt:i4>
      </vt:variant>
      <vt:variant>
        <vt:i4>204</vt:i4>
      </vt:variant>
      <vt:variant>
        <vt:i4>0</vt:i4>
      </vt:variant>
      <vt:variant>
        <vt:i4>5</vt:i4>
      </vt:variant>
      <vt:variant>
        <vt:lpwstr/>
      </vt:variant>
      <vt:variant>
        <vt:lpwstr>Par373</vt:lpwstr>
      </vt:variant>
      <vt:variant>
        <vt:i4>6357045</vt:i4>
      </vt:variant>
      <vt:variant>
        <vt:i4>201</vt:i4>
      </vt:variant>
      <vt:variant>
        <vt:i4>0</vt:i4>
      </vt:variant>
      <vt:variant>
        <vt:i4>5</vt:i4>
      </vt:variant>
      <vt:variant>
        <vt:lpwstr/>
      </vt:variant>
      <vt:variant>
        <vt:lpwstr>Par373</vt:lpwstr>
      </vt:variant>
      <vt:variant>
        <vt:i4>6750263</vt:i4>
      </vt:variant>
      <vt:variant>
        <vt:i4>198</vt:i4>
      </vt:variant>
      <vt:variant>
        <vt:i4>0</vt:i4>
      </vt:variant>
      <vt:variant>
        <vt:i4>5</vt:i4>
      </vt:variant>
      <vt:variant>
        <vt:lpwstr/>
      </vt:variant>
      <vt:variant>
        <vt:lpwstr>Par452</vt:lpwstr>
      </vt:variant>
      <vt:variant>
        <vt:i4>5701634</vt:i4>
      </vt:variant>
      <vt:variant>
        <vt:i4>195</vt:i4>
      </vt:variant>
      <vt:variant>
        <vt:i4>0</vt:i4>
      </vt:variant>
      <vt:variant>
        <vt:i4>5</vt:i4>
      </vt:variant>
      <vt:variant>
        <vt:lpwstr/>
      </vt:variant>
      <vt:variant>
        <vt:lpwstr>Par6</vt:lpwstr>
      </vt:variant>
      <vt:variant>
        <vt:i4>6881330</vt:i4>
      </vt:variant>
      <vt:variant>
        <vt:i4>192</vt:i4>
      </vt:variant>
      <vt:variant>
        <vt:i4>0</vt:i4>
      </vt:variant>
      <vt:variant>
        <vt:i4>5</vt:i4>
      </vt:variant>
      <vt:variant>
        <vt:lpwstr/>
      </vt:variant>
      <vt:variant>
        <vt:lpwstr>Par109</vt:lpwstr>
      </vt:variant>
      <vt:variant>
        <vt:i4>5701634</vt:i4>
      </vt:variant>
      <vt:variant>
        <vt:i4>189</vt:i4>
      </vt:variant>
      <vt:variant>
        <vt:i4>0</vt:i4>
      </vt:variant>
      <vt:variant>
        <vt:i4>5</vt:i4>
      </vt:variant>
      <vt:variant>
        <vt:lpwstr/>
      </vt:variant>
      <vt:variant>
        <vt:lpwstr>Par6</vt:lpwstr>
      </vt:variant>
      <vt:variant>
        <vt:i4>5767170</vt:i4>
      </vt:variant>
      <vt:variant>
        <vt:i4>186</vt:i4>
      </vt:variant>
      <vt:variant>
        <vt:i4>0</vt:i4>
      </vt:variant>
      <vt:variant>
        <vt:i4>5</vt:i4>
      </vt:variant>
      <vt:variant>
        <vt:lpwstr/>
      </vt:variant>
      <vt:variant>
        <vt:lpwstr>Par99</vt:lpwstr>
      </vt:variant>
      <vt:variant>
        <vt:i4>5767170</vt:i4>
      </vt:variant>
      <vt:variant>
        <vt:i4>183</vt:i4>
      </vt:variant>
      <vt:variant>
        <vt:i4>0</vt:i4>
      </vt:variant>
      <vt:variant>
        <vt:i4>5</vt:i4>
      </vt:variant>
      <vt:variant>
        <vt:lpwstr/>
      </vt:variant>
      <vt:variant>
        <vt:lpwstr>Par94</vt:lpwstr>
      </vt:variant>
      <vt:variant>
        <vt:i4>5701634</vt:i4>
      </vt:variant>
      <vt:variant>
        <vt:i4>180</vt:i4>
      </vt:variant>
      <vt:variant>
        <vt:i4>0</vt:i4>
      </vt:variant>
      <vt:variant>
        <vt:i4>5</vt:i4>
      </vt:variant>
      <vt:variant>
        <vt:lpwstr/>
      </vt:variant>
      <vt:variant>
        <vt:lpwstr>Par6</vt:lpwstr>
      </vt:variant>
      <vt:variant>
        <vt:i4>5767170</vt:i4>
      </vt:variant>
      <vt:variant>
        <vt:i4>177</vt:i4>
      </vt:variant>
      <vt:variant>
        <vt:i4>0</vt:i4>
      </vt:variant>
      <vt:variant>
        <vt:i4>5</vt:i4>
      </vt:variant>
      <vt:variant>
        <vt:lpwstr/>
      </vt:variant>
      <vt:variant>
        <vt:lpwstr>Par91</vt:lpwstr>
      </vt:variant>
      <vt:variant>
        <vt:i4>5767170</vt:i4>
      </vt:variant>
      <vt:variant>
        <vt:i4>174</vt:i4>
      </vt:variant>
      <vt:variant>
        <vt:i4>0</vt:i4>
      </vt:variant>
      <vt:variant>
        <vt:i4>5</vt:i4>
      </vt:variant>
      <vt:variant>
        <vt:lpwstr/>
      </vt:variant>
      <vt:variant>
        <vt:lpwstr>Par90</vt:lpwstr>
      </vt:variant>
      <vt:variant>
        <vt:i4>5767170</vt:i4>
      </vt:variant>
      <vt:variant>
        <vt:i4>171</vt:i4>
      </vt:variant>
      <vt:variant>
        <vt:i4>0</vt:i4>
      </vt:variant>
      <vt:variant>
        <vt:i4>5</vt:i4>
      </vt:variant>
      <vt:variant>
        <vt:lpwstr/>
      </vt:variant>
      <vt:variant>
        <vt:lpwstr>Par90</vt:lpwstr>
      </vt:variant>
      <vt:variant>
        <vt:i4>6619187</vt:i4>
      </vt:variant>
      <vt:variant>
        <vt:i4>168</vt:i4>
      </vt:variant>
      <vt:variant>
        <vt:i4>0</vt:i4>
      </vt:variant>
      <vt:variant>
        <vt:i4>5</vt:i4>
      </vt:variant>
      <vt:variant>
        <vt:lpwstr/>
      </vt:variant>
      <vt:variant>
        <vt:lpwstr>Par511</vt:lpwstr>
      </vt:variant>
      <vt:variant>
        <vt:i4>5832706</vt:i4>
      </vt:variant>
      <vt:variant>
        <vt:i4>165</vt:i4>
      </vt:variant>
      <vt:variant>
        <vt:i4>0</vt:i4>
      </vt:variant>
      <vt:variant>
        <vt:i4>5</vt:i4>
      </vt:variant>
      <vt:variant>
        <vt:lpwstr/>
      </vt:variant>
      <vt:variant>
        <vt:lpwstr>Par86</vt:lpwstr>
      </vt:variant>
      <vt:variant>
        <vt:i4>5701634</vt:i4>
      </vt:variant>
      <vt:variant>
        <vt:i4>162</vt:i4>
      </vt:variant>
      <vt:variant>
        <vt:i4>0</vt:i4>
      </vt:variant>
      <vt:variant>
        <vt:i4>5</vt:i4>
      </vt:variant>
      <vt:variant>
        <vt:lpwstr/>
      </vt:variant>
      <vt:variant>
        <vt:lpwstr>Par6</vt:lpwstr>
      </vt:variant>
      <vt:variant>
        <vt:i4>5636098</vt:i4>
      </vt:variant>
      <vt:variant>
        <vt:i4>159</vt:i4>
      </vt:variant>
      <vt:variant>
        <vt:i4>0</vt:i4>
      </vt:variant>
      <vt:variant>
        <vt:i4>5</vt:i4>
      </vt:variant>
      <vt:variant>
        <vt:lpwstr/>
      </vt:variant>
      <vt:variant>
        <vt:lpwstr>Par79</vt:lpwstr>
      </vt:variant>
      <vt:variant>
        <vt:i4>5570562</vt:i4>
      </vt:variant>
      <vt:variant>
        <vt:i4>156</vt:i4>
      </vt:variant>
      <vt:variant>
        <vt:i4>0</vt:i4>
      </vt:variant>
      <vt:variant>
        <vt:i4>5</vt:i4>
      </vt:variant>
      <vt:variant>
        <vt:lpwstr/>
      </vt:variant>
      <vt:variant>
        <vt:lpwstr>Par43</vt:lpwstr>
      </vt:variant>
      <vt:variant>
        <vt:i4>5701634</vt:i4>
      </vt:variant>
      <vt:variant>
        <vt:i4>153</vt:i4>
      </vt:variant>
      <vt:variant>
        <vt:i4>0</vt:i4>
      </vt:variant>
      <vt:variant>
        <vt:i4>5</vt:i4>
      </vt:variant>
      <vt:variant>
        <vt:lpwstr/>
      </vt:variant>
      <vt:variant>
        <vt:lpwstr>Par6</vt:lpwstr>
      </vt:variant>
      <vt:variant>
        <vt:i4>6422579</vt:i4>
      </vt:variant>
      <vt:variant>
        <vt:i4>150</vt:i4>
      </vt:variant>
      <vt:variant>
        <vt:i4>0</vt:i4>
      </vt:variant>
      <vt:variant>
        <vt:i4>5</vt:i4>
      </vt:variant>
      <vt:variant>
        <vt:lpwstr/>
      </vt:variant>
      <vt:variant>
        <vt:lpwstr>Par417</vt:lpwstr>
      </vt:variant>
      <vt:variant>
        <vt:i4>5636098</vt:i4>
      </vt:variant>
      <vt:variant>
        <vt:i4>147</vt:i4>
      </vt:variant>
      <vt:variant>
        <vt:i4>0</vt:i4>
      </vt:variant>
      <vt:variant>
        <vt:i4>5</vt:i4>
      </vt:variant>
      <vt:variant>
        <vt:lpwstr/>
      </vt:variant>
      <vt:variant>
        <vt:lpwstr>Par79</vt:lpwstr>
      </vt:variant>
      <vt:variant>
        <vt:i4>5636098</vt:i4>
      </vt:variant>
      <vt:variant>
        <vt:i4>144</vt:i4>
      </vt:variant>
      <vt:variant>
        <vt:i4>0</vt:i4>
      </vt:variant>
      <vt:variant>
        <vt:i4>5</vt:i4>
      </vt:variant>
      <vt:variant>
        <vt:lpwstr/>
      </vt:variant>
      <vt:variant>
        <vt:lpwstr>Par73</vt:lpwstr>
      </vt:variant>
      <vt:variant>
        <vt:i4>6357045</vt:i4>
      </vt:variant>
      <vt:variant>
        <vt:i4>141</vt:i4>
      </vt:variant>
      <vt:variant>
        <vt:i4>0</vt:i4>
      </vt:variant>
      <vt:variant>
        <vt:i4>5</vt:i4>
      </vt:variant>
      <vt:variant>
        <vt:lpwstr/>
      </vt:variant>
      <vt:variant>
        <vt:lpwstr>Par373</vt:lpwstr>
      </vt:variant>
      <vt:variant>
        <vt:i4>7077947</vt:i4>
      </vt:variant>
      <vt:variant>
        <vt:i4>138</vt:i4>
      </vt:variant>
      <vt:variant>
        <vt:i4>0</vt:i4>
      </vt:variant>
      <vt:variant>
        <vt:i4>5</vt:i4>
      </vt:variant>
      <vt:variant>
        <vt:lpwstr/>
      </vt:variant>
      <vt:variant>
        <vt:lpwstr>Par499</vt:lpwstr>
      </vt:variant>
      <vt:variant>
        <vt:i4>5701634</vt:i4>
      </vt:variant>
      <vt:variant>
        <vt:i4>135</vt:i4>
      </vt:variant>
      <vt:variant>
        <vt:i4>0</vt:i4>
      </vt:variant>
      <vt:variant>
        <vt:i4>5</vt:i4>
      </vt:variant>
      <vt:variant>
        <vt:lpwstr/>
      </vt:variant>
      <vt:variant>
        <vt:lpwstr>Par61</vt:lpwstr>
      </vt:variant>
      <vt:variant>
        <vt:i4>5505026</vt:i4>
      </vt:variant>
      <vt:variant>
        <vt:i4>132</vt:i4>
      </vt:variant>
      <vt:variant>
        <vt:i4>0</vt:i4>
      </vt:variant>
      <vt:variant>
        <vt:i4>5</vt:i4>
      </vt:variant>
      <vt:variant>
        <vt:lpwstr/>
      </vt:variant>
      <vt:variant>
        <vt:lpwstr>Par57</vt:lpwstr>
      </vt:variant>
      <vt:variant>
        <vt:i4>5505026</vt:i4>
      </vt:variant>
      <vt:variant>
        <vt:i4>129</vt:i4>
      </vt:variant>
      <vt:variant>
        <vt:i4>0</vt:i4>
      </vt:variant>
      <vt:variant>
        <vt:i4>5</vt:i4>
      </vt:variant>
      <vt:variant>
        <vt:lpwstr/>
      </vt:variant>
      <vt:variant>
        <vt:lpwstr>Par56</vt:lpwstr>
      </vt:variant>
      <vt:variant>
        <vt:i4>5505026</vt:i4>
      </vt:variant>
      <vt:variant>
        <vt:i4>126</vt:i4>
      </vt:variant>
      <vt:variant>
        <vt:i4>0</vt:i4>
      </vt:variant>
      <vt:variant>
        <vt:i4>5</vt:i4>
      </vt:variant>
      <vt:variant>
        <vt:lpwstr/>
      </vt:variant>
      <vt:variant>
        <vt:lpwstr>Par52</vt:lpwstr>
      </vt:variant>
      <vt:variant>
        <vt:i4>5505026</vt:i4>
      </vt:variant>
      <vt:variant>
        <vt:i4>123</vt:i4>
      </vt:variant>
      <vt:variant>
        <vt:i4>0</vt:i4>
      </vt:variant>
      <vt:variant>
        <vt:i4>5</vt:i4>
      </vt:variant>
      <vt:variant>
        <vt:lpwstr/>
      </vt:variant>
      <vt:variant>
        <vt:lpwstr>Par50</vt:lpwstr>
      </vt:variant>
      <vt:variant>
        <vt:i4>5570562</vt:i4>
      </vt:variant>
      <vt:variant>
        <vt:i4>120</vt:i4>
      </vt:variant>
      <vt:variant>
        <vt:i4>0</vt:i4>
      </vt:variant>
      <vt:variant>
        <vt:i4>5</vt:i4>
      </vt:variant>
      <vt:variant>
        <vt:lpwstr/>
      </vt:variant>
      <vt:variant>
        <vt:lpwstr>Par49</vt:lpwstr>
      </vt:variant>
      <vt:variant>
        <vt:i4>5570562</vt:i4>
      </vt:variant>
      <vt:variant>
        <vt:i4>117</vt:i4>
      </vt:variant>
      <vt:variant>
        <vt:i4>0</vt:i4>
      </vt:variant>
      <vt:variant>
        <vt:i4>5</vt:i4>
      </vt:variant>
      <vt:variant>
        <vt:lpwstr/>
      </vt:variant>
      <vt:variant>
        <vt:lpwstr>Par49</vt:lpwstr>
      </vt:variant>
      <vt:variant>
        <vt:i4>5570562</vt:i4>
      </vt:variant>
      <vt:variant>
        <vt:i4>114</vt:i4>
      </vt:variant>
      <vt:variant>
        <vt:i4>0</vt:i4>
      </vt:variant>
      <vt:variant>
        <vt:i4>5</vt:i4>
      </vt:variant>
      <vt:variant>
        <vt:lpwstr/>
      </vt:variant>
      <vt:variant>
        <vt:lpwstr>Par43</vt:lpwstr>
      </vt:variant>
      <vt:variant>
        <vt:i4>5373954</vt:i4>
      </vt:variant>
      <vt:variant>
        <vt:i4>111</vt:i4>
      </vt:variant>
      <vt:variant>
        <vt:i4>0</vt:i4>
      </vt:variant>
      <vt:variant>
        <vt:i4>5</vt:i4>
      </vt:variant>
      <vt:variant>
        <vt:lpwstr/>
      </vt:variant>
      <vt:variant>
        <vt:lpwstr>Par37</vt:lpwstr>
      </vt:variant>
      <vt:variant>
        <vt:i4>5373954</vt:i4>
      </vt:variant>
      <vt:variant>
        <vt:i4>108</vt:i4>
      </vt:variant>
      <vt:variant>
        <vt:i4>0</vt:i4>
      </vt:variant>
      <vt:variant>
        <vt:i4>5</vt:i4>
      </vt:variant>
      <vt:variant>
        <vt:lpwstr/>
      </vt:variant>
      <vt:variant>
        <vt:lpwstr>Par35</vt:lpwstr>
      </vt:variant>
      <vt:variant>
        <vt:i4>5701634</vt:i4>
      </vt:variant>
      <vt:variant>
        <vt:i4>105</vt:i4>
      </vt:variant>
      <vt:variant>
        <vt:i4>0</vt:i4>
      </vt:variant>
      <vt:variant>
        <vt:i4>5</vt:i4>
      </vt:variant>
      <vt:variant>
        <vt:lpwstr/>
      </vt:variant>
      <vt:variant>
        <vt:lpwstr>Par6</vt:lpwstr>
      </vt:variant>
      <vt:variant>
        <vt:i4>5373954</vt:i4>
      </vt:variant>
      <vt:variant>
        <vt:i4>102</vt:i4>
      </vt:variant>
      <vt:variant>
        <vt:i4>0</vt:i4>
      </vt:variant>
      <vt:variant>
        <vt:i4>5</vt:i4>
      </vt:variant>
      <vt:variant>
        <vt:lpwstr/>
      </vt:variant>
      <vt:variant>
        <vt:lpwstr>Par32</vt:lpwstr>
      </vt:variant>
      <vt:variant>
        <vt:i4>5373954</vt:i4>
      </vt:variant>
      <vt:variant>
        <vt:i4>99</vt:i4>
      </vt:variant>
      <vt:variant>
        <vt:i4>0</vt:i4>
      </vt:variant>
      <vt:variant>
        <vt:i4>5</vt:i4>
      </vt:variant>
      <vt:variant>
        <vt:lpwstr/>
      </vt:variant>
      <vt:variant>
        <vt:lpwstr>Par30</vt:lpwstr>
      </vt:variant>
      <vt:variant>
        <vt:i4>5373954</vt:i4>
      </vt:variant>
      <vt:variant>
        <vt:i4>96</vt:i4>
      </vt:variant>
      <vt:variant>
        <vt:i4>0</vt:i4>
      </vt:variant>
      <vt:variant>
        <vt:i4>5</vt:i4>
      </vt:variant>
      <vt:variant>
        <vt:lpwstr/>
      </vt:variant>
      <vt:variant>
        <vt:lpwstr>Par30</vt:lpwstr>
      </vt:variant>
      <vt:variant>
        <vt:i4>5701634</vt:i4>
      </vt:variant>
      <vt:variant>
        <vt:i4>93</vt:i4>
      </vt:variant>
      <vt:variant>
        <vt:i4>0</vt:i4>
      </vt:variant>
      <vt:variant>
        <vt:i4>5</vt:i4>
      </vt:variant>
      <vt:variant>
        <vt:lpwstr/>
      </vt:variant>
      <vt:variant>
        <vt:lpwstr>Par6</vt:lpwstr>
      </vt:variant>
      <vt:variant>
        <vt:i4>5373954</vt:i4>
      </vt:variant>
      <vt:variant>
        <vt:i4>90</vt:i4>
      </vt:variant>
      <vt:variant>
        <vt:i4>0</vt:i4>
      </vt:variant>
      <vt:variant>
        <vt:i4>5</vt:i4>
      </vt:variant>
      <vt:variant>
        <vt:lpwstr/>
      </vt:variant>
      <vt:variant>
        <vt:lpwstr>Par30</vt:lpwstr>
      </vt:variant>
      <vt:variant>
        <vt:i4>5439490</vt:i4>
      </vt:variant>
      <vt:variant>
        <vt:i4>87</vt:i4>
      </vt:variant>
      <vt:variant>
        <vt:i4>0</vt:i4>
      </vt:variant>
      <vt:variant>
        <vt:i4>5</vt:i4>
      </vt:variant>
      <vt:variant>
        <vt:lpwstr/>
      </vt:variant>
      <vt:variant>
        <vt:lpwstr>Par29</vt:lpwstr>
      </vt:variant>
      <vt:variant>
        <vt:i4>5439490</vt:i4>
      </vt:variant>
      <vt:variant>
        <vt:i4>84</vt:i4>
      </vt:variant>
      <vt:variant>
        <vt:i4>0</vt:i4>
      </vt:variant>
      <vt:variant>
        <vt:i4>5</vt:i4>
      </vt:variant>
      <vt:variant>
        <vt:lpwstr/>
      </vt:variant>
      <vt:variant>
        <vt:lpwstr>Par29</vt:lpwstr>
      </vt:variant>
      <vt:variant>
        <vt:i4>5439490</vt:i4>
      </vt:variant>
      <vt:variant>
        <vt:i4>81</vt:i4>
      </vt:variant>
      <vt:variant>
        <vt:i4>0</vt:i4>
      </vt:variant>
      <vt:variant>
        <vt:i4>5</vt:i4>
      </vt:variant>
      <vt:variant>
        <vt:lpwstr/>
      </vt:variant>
      <vt:variant>
        <vt:lpwstr>Par29</vt:lpwstr>
      </vt:variant>
      <vt:variant>
        <vt:i4>5439490</vt:i4>
      </vt:variant>
      <vt:variant>
        <vt:i4>78</vt:i4>
      </vt:variant>
      <vt:variant>
        <vt:i4>0</vt:i4>
      </vt:variant>
      <vt:variant>
        <vt:i4>5</vt:i4>
      </vt:variant>
      <vt:variant>
        <vt:lpwstr/>
      </vt:variant>
      <vt:variant>
        <vt:lpwstr>Par29</vt:lpwstr>
      </vt:variant>
      <vt:variant>
        <vt:i4>5439490</vt:i4>
      </vt:variant>
      <vt:variant>
        <vt:i4>75</vt:i4>
      </vt:variant>
      <vt:variant>
        <vt:i4>0</vt:i4>
      </vt:variant>
      <vt:variant>
        <vt:i4>5</vt:i4>
      </vt:variant>
      <vt:variant>
        <vt:lpwstr/>
      </vt:variant>
      <vt:variant>
        <vt:lpwstr>Par25</vt:lpwstr>
      </vt:variant>
      <vt:variant>
        <vt:i4>5439490</vt:i4>
      </vt:variant>
      <vt:variant>
        <vt:i4>72</vt:i4>
      </vt:variant>
      <vt:variant>
        <vt:i4>0</vt:i4>
      </vt:variant>
      <vt:variant>
        <vt:i4>5</vt:i4>
      </vt:variant>
      <vt:variant>
        <vt:lpwstr/>
      </vt:variant>
      <vt:variant>
        <vt:lpwstr>Par25</vt:lpwstr>
      </vt:variant>
      <vt:variant>
        <vt:i4>5439490</vt:i4>
      </vt:variant>
      <vt:variant>
        <vt:i4>69</vt:i4>
      </vt:variant>
      <vt:variant>
        <vt:i4>0</vt:i4>
      </vt:variant>
      <vt:variant>
        <vt:i4>5</vt:i4>
      </vt:variant>
      <vt:variant>
        <vt:lpwstr/>
      </vt:variant>
      <vt:variant>
        <vt:lpwstr>Par29</vt:lpwstr>
      </vt:variant>
      <vt:variant>
        <vt:i4>5701634</vt:i4>
      </vt:variant>
      <vt:variant>
        <vt:i4>66</vt:i4>
      </vt:variant>
      <vt:variant>
        <vt:i4>0</vt:i4>
      </vt:variant>
      <vt:variant>
        <vt:i4>5</vt:i4>
      </vt:variant>
      <vt:variant>
        <vt:lpwstr/>
      </vt:variant>
      <vt:variant>
        <vt:lpwstr>Par6</vt:lpwstr>
      </vt:variant>
      <vt:variant>
        <vt:i4>5701634</vt:i4>
      </vt:variant>
      <vt:variant>
        <vt:i4>63</vt:i4>
      </vt:variant>
      <vt:variant>
        <vt:i4>0</vt:i4>
      </vt:variant>
      <vt:variant>
        <vt:i4>5</vt:i4>
      </vt:variant>
      <vt:variant>
        <vt:lpwstr/>
      </vt:variant>
      <vt:variant>
        <vt:lpwstr>Par6</vt:lpwstr>
      </vt:variant>
      <vt:variant>
        <vt:i4>5701634</vt:i4>
      </vt:variant>
      <vt:variant>
        <vt:i4>60</vt:i4>
      </vt:variant>
      <vt:variant>
        <vt:i4>0</vt:i4>
      </vt:variant>
      <vt:variant>
        <vt:i4>5</vt:i4>
      </vt:variant>
      <vt:variant>
        <vt:lpwstr/>
      </vt:variant>
      <vt:variant>
        <vt:lpwstr>Par6</vt:lpwstr>
      </vt:variant>
      <vt:variant>
        <vt:i4>6488113</vt:i4>
      </vt:variant>
      <vt:variant>
        <vt:i4>57</vt:i4>
      </vt:variant>
      <vt:variant>
        <vt:i4>0</vt:i4>
      </vt:variant>
      <vt:variant>
        <vt:i4>5</vt:i4>
      </vt:variant>
      <vt:variant>
        <vt:lpwstr/>
      </vt:variant>
      <vt:variant>
        <vt:lpwstr>Par133</vt:lpwstr>
      </vt:variant>
      <vt:variant>
        <vt:i4>6684721</vt:i4>
      </vt:variant>
      <vt:variant>
        <vt:i4>54</vt:i4>
      </vt:variant>
      <vt:variant>
        <vt:i4>0</vt:i4>
      </vt:variant>
      <vt:variant>
        <vt:i4>5</vt:i4>
      </vt:variant>
      <vt:variant>
        <vt:lpwstr/>
      </vt:variant>
      <vt:variant>
        <vt:lpwstr>Par235</vt:lpwstr>
      </vt:variant>
      <vt:variant>
        <vt:i4>6684721</vt:i4>
      </vt:variant>
      <vt:variant>
        <vt:i4>51</vt:i4>
      </vt:variant>
      <vt:variant>
        <vt:i4>0</vt:i4>
      </vt:variant>
      <vt:variant>
        <vt:i4>5</vt:i4>
      </vt:variant>
      <vt:variant>
        <vt:lpwstr/>
      </vt:variant>
      <vt:variant>
        <vt:lpwstr>Par235</vt:lpwstr>
      </vt:variant>
      <vt:variant>
        <vt:i4>6684721</vt:i4>
      </vt:variant>
      <vt:variant>
        <vt:i4>48</vt:i4>
      </vt:variant>
      <vt:variant>
        <vt:i4>0</vt:i4>
      </vt:variant>
      <vt:variant>
        <vt:i4>5</vt:i4>
      </vt:variant>
      <vt:variant>
        <vt:lpwstr/>
      </vt:variant>
      <vt:variant>
        <vt:lpwstr>Par235</vt:lpwstr>
      </vt:variant>
      <vt:variant>
        <vt:i4>6684721</vt:i4>
      </vt:variant>
      <vt:variant>
        <vt:i4>45</vt:i4>
      </vt:variant>
      <vt:variant>
        <vt:i4>0</vt:i4>
      </vt:variant>
      <vt:variant>
        <vt:i4>5</vt:i4>
      </vt:variant>
      <vt:variant>
        <vt:lpwstr/>
      </vt:variant>
      <vt:variant>
        <vt:lpwstr>Par235</vt:lpwstr>
      </vt:variant>
      <vt:variant>
        <vt:i4>6619185</vt:i4>
      </vt:variant>
      <vt:variant>
        <vt:i4>42</vt:i4>
      </vt:variant>
      <vt:variant>
        <vt:i4>0</vt:i4>
      </vt:variant>
      <vt:variant>
        <vt:i4>5</vt:i4>
      </vt:variant>
      <vt:variant>
        <vt:lpwstr/>
      </vt:variant>
      <vt:variant>
        <vt:lpwstr>Par236</vt:lpwstr>
      </vt:variant>
      <vt:variant>
        <vt:i4>6684721</vt:i4>
      </vt:variant>
      <vt:variant>
        <vt:i4>39</vt:i4>
      </vt:variant>
      <vt:variant>
        <vt:i4>0</vt:i4>
      </vt:variant>
      <vt:variant>
        <vt:i4>5</vt:i4>
      </vt:variant>
      <vt:variant>
        <vt:lpwstr/>
      </vt:variant>
      <vt:variant>
        <vt:lpwstr>Par235</vt:lpwstr>
      </vt:variant>
      <vt:variant>
        <vt:i4>6619185</vt:i4>
      </vt:variant>
      <vt:variant>
        <vt:i4>36</vt:i4>
      </vt:variant>
      <vt:variant>
        <vt:i4>0</vt:i4>
      </vt:variant>
      <vt:variant>
        <vt:i4>5</vt:i4>
      </vt:variant>
      <vt:variant>
        <vt:lpwstr/>
      </vt:variant>
      <vt:variant>
        <vt:lpwstr>Par236</vt:lpwstr>
      </vt:variant>
      <vt:variant>
        <vt:i4>6619185</vt:i4>
      </vt:variant>
      <vt:variant>
        <vt:i4>33</vt:i4>
      </vt:variant>
      <vt:variant>
        <vt:i4>0</vt:i4>
      </vt:variant>
      <vt:variant>
        <vt:i4>5</vt:i4>
      </vt:variant>
      <vt:variant>
        <vt:lpwstr/>
      </vt:variant>
      <vt:variant>
        <vt:lpwstr>Par236</vt:lpwstr>
      </vt:variant>
      <vt:variant>
        <vt:i4>6553654</vt:i4>
      </vt:variant>
      <vt:variant>
        <vt:i4>30</vt:i4>
      </vt:variant>
      <vt:variant>
        <vt:i4>0</vt:i4>
      </vt:variant>
      <vt:variant>
        <vt:i4>5</vt:i4>
      </vt:variant>
      <vt:variant>
        <vt:lpwstr/>
      </vt:variant>
      <vt:variant>
        <vt:lpwstr>Par540</vt:lpwstr>
      </vt:variant>
      <vt:variant>
        <vt:i4>6488113</vt:i4>
      </vt:variant>
      <vt:variant>
        <vt:i4>27</vt:i4>
      </vt:variant>
      <vt:variant>
        <vt:i4>0</vt:i4>
      </vt:variant>
      <vt:variant>
        <vt:i4>5</vt:i4>
      </vt:variant>
      <vt:variant>
        <vt:lpwstr/>
      </vt:variant>
      <vt:variant>
        <vt:lpwstr>Par133</vt:lpwstr>
      </vt:variant>
      <vt:variant>
        <vt:i4>6815799</vt:i4>
      </vt:variant>
      <vt:variant>
        <vt:i4>24</vt:i4>
      </vt:variant>
      <vt:variant>
        <vt:i4>0</vt:i4>
      </vt:variant>
      <vt:variant>
        <vt:i4>5</vt:i4>
      </vt:variant>
      <vt:variant>
        <vt:lpwstr/>
      </vt:variant>
      <vt:variant>
        <vt:lpwstr>Par158</vt:lpwstr>
      </vt:variant>
      <vt:variant>
        <vt:i4>5767170</vt:i4>
      </vt:variant>
      <vt:variant>
        <vt:i4>21</vt:i4>
      </vt:variant>
      <vt:variant>
        <vt:i4>0</vt:i4>
      </vt:variant>
      <vt:variant>
        <vt:i4>5</vt:i4>
      </vt:variant>
      <vt:variant>
        <vt:lpwstr/>
      </vt:variant>
      <vt:variant>
        <vt:lpwstr>Par94</vt:lpwstr>
      </vt:variant>
      <vt:variant>
        <vt:i4>5832706</vt:i4>
      </vt:variant>
      <vt:variant>
        <vt:i4>18</vt:i4>
      </vt:variant>
      <vt:variant>
        <vt:i4>0</vt:i4>
      </vt:variant>
      <vt:variant>
        <vt:i4>5</vt:i4>
      </vt:variant>
      <vt:variant>
        <vt:lpwstr/>
      </vt:variant>
      <vt:variant>
        <vt:lpwstr>Par86</vt:lpwstr>
      </vt:variant>
      <vt:variant>
        <vt:i4>5505026</vt:i4>
      </vt:variant>
      <vt:variant>
        <vt:i4>15</vt:i4>
      </vt:variant>
      <vt:variant>
        <vt:i4>0</vt:i4>
      </vt:variant>
      <vt:variant>
        <vt:i4>5</vt:i4>
      </vt:variant>
      <vt:variant>
        <vt:lpwstr/>
      </vt:variant>
      <vt:variant>
        <vt:lpwstr>Par58</vt:lpwstr>
      </vt:variant>
      <vt:variant>
        <vt:i4>5439490</vt:i4>
      </vt:variant>
      <vt:variant>
        <vt:i4>12</vt:i4>
      </vt:variant>
      <vt:variant>
        <vt:i4>0</vt:i4>
      </vt:variant>
      <vt:variant>
        <vt:i4>5</vt:i4>
      </vt:variant>
      <vt:variant>
        <vt:lpwstr/>
      </vt:variant>
      <vt:variant>
        <vt:lpwstr>Par25</vt:lpwstr>
      </vt:variant>
      <vt:variant>
        <vt:i4>5373954</vt:i4>
      </vt:variant>
      <vt:variant>
        <vt:i4>9</vt:i4>
      </vt:variant>
      <vt:variant>
        <vt:i4>0</vt:i4>
      </vt:variant>
      <vt:variant>
        <vt:i4>5</vt:i4>
      </vt:variant>
      <vt:variant>
        <vt:lpwstr/>
      </vt:variant>
      <vt:variant>
        <vt:lpwstr>Par30</vt:lpwstr>
      </vt:variant>
      <vt:variant>
        <vt:i4>5439490</vt:i4>
      </vt:variant>
      <vt:variant>
        <vt:i4>6</vt:i4>
      </vt:variant>
      <vt:variant>
        <vt:i4>0</vt:i4>
      </vt:variant>
      <vt:variant>
        <vt:i4>5</vt:i4>
      </vt:variant>
      <vt:variant>
        <vt:lpwstr/>
      </vt:variant>
      <vt:variant>
        <vt:lpwstr>Par29</vt:lpwstr>
      </vt:variant>
      <vt:variant>
        <vt:i4>7077941</vt:i4>
      </vt:variant>
      <vt:variant>
        <vt:i4>3</vt:i4>
      </vt:variant>
      <vt:variant>
        <vt:i4>0</vt:i4>
      </vt:variant>
      <vt:variant>
        <vt:i4>5</vt:i4>
      </vt:variant>
      <vt:variant>
        <vt:lpwstr/>
      </vt:variant>
      <vt:variant>
        <vt:lpwstr>Par479</vt:lpwstr>
      </vt:variant>
      <vt:variant>
        <vt:i4>6357045</vt:i4>
      </vt:variant>
      <vt:variant>
        <vt:i4>0</vt:i4>
      </vt:variant>
      <vt:variant>
        <vt:i4>0</vt:i4>
      </vt:variant>
      <vt:variant>
        <vt:i4>5</vt:i4>
      </vt:variant>
      <vt:variant>
        <vt:lpwstr/>
      </vt:variant>
      <vt:variant>
        <vt:lpwstr>Par373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[официальный перевод</dc:title>
  <dc:creator>Полуденный Николай Николаевич</dc:creator>
  <cp:lastModifiedBy>Тунева Елена</cp:lastModifiedBy>
  <cp:revision>2</cp:revision>
  <dcterms:created xsi:type="dcterms:W3CDTF">2018-12-03T11:08:00Z</dcterms:created>
  <dcterms:modified xsi:type="dcterms:W3CDTF">2018-12-03T11:08:00Z</dcterms:modified>
</cp:coreProperties>
</file>